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Government Sources: End-to-End Data Pipeline</w:t>
      </w:r>
    </w:p>
    <w:p>
      <w:r>
        <w:t>Detailed Knowledge Transfer Study Guide  |  English + Easy Hindi/Hinglish</w:t>
      </w:r>
    </w:p>
    <w:p>
      <w:r>
        <w:t>Based on the Government Jobs Monitoring KT shared on 09 October 2026</w:t>
      </w:r>
    </w:p>
    <w:p>
      <w:r>
        <w:t>Covers source ingestion, AWS/GCP transfer, Airflow, MDD, Parquet/BigQuery tables, GBS matching, iResearch, publishing, monitoring, failures and recovery.</w:t>
      </w:r>
    </w:p>
    <w:p>
      <w:r>
        <w:rPr>
          <w:b/>
        </w:rPr>
        <w:t xml:space="preserve">IMPORTANT: </w:t>
      </w:r>
      <w:r>
        <w:t>The descriptions below distinguish directly stated KT facts from examples and items requiring confirmation. This is a learning guide, not an approved production runbook. Do not modify production configuration or rerun jobs without authorization.</w:t>
      </w:r>
    </w:p>
    <w:p>
      <w:pPr>
        <w:pStyle w:val="Heading1"/>
      </w:pPr>
      <w:r>
        <w:t>Quick 2-minute overview</w:t>
      </w:r>
    </w:p>
    <w:p>
      <w:r>
        <w:rPr>
          <w:b/>
        </w:rPr>
        <w:t xml:space="preserve">English: </w:t>
      </w:r>
      <w:r>
        <w:t>Each government source exposes data through an API. AWS Lambda fetches the file and deposits it in an S3 landing bucket. GCP Storage Transfer Service copies it to GCS. A source-specific Airflow DAG scans and validates the file, builds batch configuration, runs an MDD processing engine on Dataproc/Spark, validates row counts, optionally requests DUNS matching from GBS, publishes audits and writes domain views consumed downstream.</w:t>
      </w:r>
    </w:p>
    <w:p>
      <w:r>
        <w:rPr>
          <w:b/>
        </w:rPr>
        <w:t xml:space="preserve">Easy Hindi/Hinglish: </w:t>
      </w:r>
      <w:r>
        <w:t>Government API se file aati hai -&gt; Lambda S3 mein rakhta hai -&gt; Storage Transfer Service GCS tak laati hai -&gt; Airflow DAG MDD engine se process karta hai -&gt; counts check -&gt; zarurat ho to GBS se DUNS matching -&gt; audit publish -&gt; final DV consumers ko milti hai.</w:t>
      </w:r>
    </w:p>
    <w:p>
      <w:r>
        <w:t>Government API  →  AWS Lambda  →  S3 landing  →  GCP STS  →  GCS  →  Airflow / MDD / Dataproc  →  Match (if enabled)  →  BV / DV  →  Consumers</w:t>
      </w:r>
    </w:p>
    <w:p>
      <w:pPr>
        <w:pStyle w:val="Heading1"/>
      </w:pPr>
      <w:r>
        <w:t>Table of contents</w:t>
      </w:r>
    </w:p>
    <w:p>
      <w:pPr>
        <w:pStyle w:val="ListBullet"/>
      </w:pPr>
      <w:r>
        <w:t>1. Tools and system responsibilities</w:t>
      </w:r>
    </w:p>
    <w:p>
      <w:pPr>
        <w:pStyle w:val="ListBullet"/>
      </w:pPr>
      <w:r>
        <w:t>2. Source file ingestion: AWS to GCP</w:t>
      </w:r>
    </w:p>
    <w:p>
      <w:pPr>
        <w:pStyle w:val="ListBullet"/>
      </w:pPr>
      <w:r>
        <w:t>3. Airflow DAG, step by step</w:t>
      </w:r>
    </w:p>
    <w:p>
      <w:pPr>
        <w:pStyle w:val="ListBullet"/>
      </w:pPr>
      <w:r>
        <w:t>4. MDD UI, workflow refresh and config.json</w:t>
      </w:r>
    </w:p>
    <w:p>
      <w:pPr>
        <w:pStyle w:val="ListBullet"/>
      </w:pPr>
      <w:r>
        <w:t>5. MDD processing outputs, CDC and counts</w:t>
      </w:r>
    </w:p>
    <w:p>
      <w:pPr>
        <w:pStyle w:val="ListBullet"/>
      </w:pPr>
      <w:r>
        <w:t>6. GBS matching request/response</w:t>
      </w:r>
    </w:p>
    <w:p>
      <w:pPr>
        <w:pStyle w:val="ListBullet"/>
      </w:pPr>
      <w:r>
        <w:t>7. Acceptance, ER, rematch and iResearch</w:t>
      </w:r>
    </w:p>
    <w:p>
      <w:pPr>
        <w:pStyle w:val="ListBullet"/>
      </w:pPr>
      <w:r>
        <w:t>8. BV/DV publishing and MetricsHub</w:t>
      </w:r>
    </w:p>
    <w:p>
      <w:pPr>
        <w:pStyle w:val="ListBullet"/>
      </w:pPr>
      <w:r>
        <w:t>9. Daily monitoring playbook</w:t>
      </w:r>
    </w:p>
    <w:p>
      <w:pPr>
        <w:pStyle w:val="ListBullet"/>
      </w:pPr>
      <w:r>
        <w:t>10. Failure scenarios, RCA and recovery</w:t>
      </w:r>
    </w:p>
    <w:p>
      <w:pPr>
        <w:pStyle w:val="ListBullet"/>
      </w:pPr>
      <w:r>
        <w:t>11. Practical worked example</w:t>
      </w:r>
    </w:p>
    <w:p>
      <w:pPr>
        <w:pStyle w:val="ListBullet"/>
      </w:pPr>
      <w:r>
        <w:t>12. Access checklist and questions</w:t>
      </w:r>
    </w:p>
    <w:p>
      <w:pPr>
        <w:pStyle w:val="ListBullet"/>
      </w:pPr>
      <w:r>
        <w:t>13. Glossary and confirmed/unconfirmed details</w:t>
      </w:r>
    </w:p>
    <w:p>
      <w:pPr>
        <w:pStyle w:val="Heading1"/>
      </w:pPr>
      <w:r>
        <w:t>1. Tools and system responsibilities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Tool / system</w:t>
            </w:r>
          </w:p>
        </w:tc>
        <w:tc>
          <w:tcPr>
            <w:tcW w:type="dxa" w:w="3312"/>
            <w:vAlign w:val="center"/>
          </w:tcPr>
          <w:p>
            <w:r>
              <w:rPr>
                <w:sz w:val="16"/>
              </w:rPr>
              <w:t>What it does</w:t>
            </w:r>
          </w:p>
        </w:tc>
        <w:tc>
          <w:tcPr>
            <w:tcW w:type="dxa" w:w="3312"/>
            <w:vAlign w:val="center"/>
          </w:tcPr>
          <w:p>
            <w:r>
              <w:rPr>
                <w:sz w:val="16"/>
              </w:rPr>
              <w:t>Easy meaning</w:t>
            </w:r>
          </w:p>
        </w:tc>
      </w:tr>
      <w:tr>
        <w:tc>
          <w:tcPr>
            <w:tcW w:type="dxa" w:w="3312"/>
            <w:vAlign w:val="center"/>
          </w:tcPr>
          <w:p>
            <w:r>
              <w:rPr>
                <w:sz w:val="16"/>
              </w:rPr>
              <w:t>Government source API</w:t>
            </w:r>
          </w:p>
        </w:tc>
        <w:tc>
          <w:tcPr>
            <w:tcW w:type="dxa" w:w="3312"/>
            <w:vAlign w:val="center"/>
          </w:tcPr>
          <w:p>
            <w:r>
              <w:rPr>
                <w:sz w:val="16"/>
              </w:rPr>
              <w:t>Makes public-source data available</w:t>
            </w:r>
          </w:p>
        </w:tc>
        <w:tc>
          <w:tcPr>
            <w:tcW w:type="dxa" w:w="3312"/>
            <w:vAlign w:val="center"/>
          </w:tcPr>
          <w:p>
            <w:r>
              <w:rPr>
                <w:sz w:val="16"/>
              </w:rPr>
              <w:t>Source se original data milta hai</w:t>
            </w:r>
          </w:p>
        </w:tc>
      </w:tr>
      <w:tr>
        <w:tc>
          <w:tcPr>
            <w:tcW w:type="dxa" w:w="3312"/>
            <w:vAlign w:val="center"/>
          </w:tcPr>
          <w:p>
            <w:r>
              <w:rPr>
                <w:sz w:val="16"/>
              </w:rPr>
              <w:t>AWS Lambda</w:t>
            </w:r>
          </w:p>
        </w:tc>
        <w:tc>
          <w:tcPr>
            <w:tcW w:type="dxa" w:w="3312"/>
            <w:vAlign w:val="center"/>
          </w:tcPr>
          <w:p>
            <w:r>
              <w:rPr>
                <w:sz w:val="16"/>
              </w:rPr>
              <w:t>Python logic fetches source data</w:t>
            </w:r>
          </w:p>
        </w:tc>
        <w:tc>
          <w:tcPr>
            <w:tcW w:type="dxa" w:w="3312"/>
            <w:vAlign w:val="center"/>
          </w:tcPr>
          <w:p>
            <w:r>
              <w:rPr>
                <w:sz w:val="16"/>
              </w:rPr>
              <w:t>API hit karne wala code</w:t>
            </w:r>
          </w:p>
        </w:tc>
      </w:tr>
      <w:tr>
        <w:tc>
          <w:tcPr>
            <w:tcW w:type="dxa" w:w="3312"/>
            <w:vAlign w:val="center"/>
          </w:tcPr>
          <w:p>
            <w:r>
              <w:rPr>
                <w:sz w:val="16"/>
              </w:rPr>
              <w:t>Amazon S3</w:t>
            </w:r>
          </w:p>
        </w:tc>
        <w:tc>
          <w:tcPr>
            <w:tcW w:type="dxa" w:w="3312"/>
            <w:vAlign w:val="center"/>
          </w:tcPr>
          <w:p>
            <w:r>
              <w:rPr>
                <w:sz w:val="16"/>
              </w:rPr>
              <w:t>Stores source landing files and GBS file exchange</w:t>
            </w:r>
          </w:p>
        </w:tc>
        <w:tc>
          <w:tcPr>
            <w:tcW w:type="dxa" w:w="3312"/>
            <w:vAlign w:val="center"/>
          </w:tcPr>
          <w:p>
            <w:r>
              <w:rPr>
                <w:sz w:val="16"/>
              </w:rPr>
              <w:t>AWS ka file storage</w:t>
            </w:r>
          </w:p>
        </w:tc>
      </w:tr>
      <w:tr>
        <w:tc>
          <w:tcPr>
            <w:tcW w:type="dxa" w:w="3312"/>
            <w:vAlign w:val="center"/>
          </w:tcPr>
          <w:p>
            <w:r>
              <w:rPr>
                <w:sz w:val="16"/>
              </w:rPr>
              <w:t>GCP Storage Transfer Service (STS)</w:t>
            </w:r>
          </w:p>
        </w:tc>
        <w:tc>
          <w:tcPr>
            <w:tcW w:type="dxa" w:w="3312"/>
            <w:vAlign w:val="center"/>
          </w:tcPr>
          <w:p>
            <w:r>
              <w:rPr>
                <w:sz w:val="16"/>
              </w:rPr>
              <w:t>Transfers source files from S3 into GCS</w:t>
            </w:r>
          </w:p>
        </w:tc>
        <w:tc>
          <w:tcPr>
            <w:tcW w:type="dxa" w:w="3312"/>
            <w:vAlign w:val="center"/>
          </w:tcPr>
          <w:p>
            <w:r>
              <w:rPr>
                <w:sz w:val="16"/>
              </w:rPr>
              <w:t>AWS se Google Cloud file copy</w:t>
            </w:r>
          </w:p>
        </w:tc>
      </w:tr>
      <w:tr>
        <w:tc>
          <w:tcPr>
            <w:tcW w:type="dxa" w:w="3312"/>
            <w:vAlign w:val="center"/>
          </w:tcPr>
          <w:p>
            <w:r>
              <w:rPr>
                <w:sz w:val="16"/>
              </w:rPr>
              <w:t>Google Cloud Storage (GCS)</w:t>
            </w:r>
          </w:p>
        </w:tc>
        <w:tc>
          <w:tcPr>
            <w:tcW w:type="dxa" w:w="3312"/>
            <w:vAlign w:val="center"/>
          </w:tcPr>
          <w:p>
            <w:r>
              <w:rPr>
                <w:sz w:val="16"/>
              </w:rPr>
              <w:t>Holds landed files and config artifacts</w:t>
            </w:r>
          </w:p>
        </w:tc>
        <w:tc>
          <w:tcPr>
            <w:tcW w:type="dxa" w:w="3312"/>
            <w:vAlign w:val="center"/>
          </w:tcPr>
          <w:p>
            <w:r>
              <w:rPr>
                <w:sz w:val="16"/>
              </w:rPr>
              <w:t>GCP ka bucket</w:t>
            </w:r>
          </w:p>
        </w:tc>
      </w:tr>
      <w:tr>
        <w:tc>
          <w:tcPr>
            <w:tcW w:type="dxa" w:w="3312"/>
            <w:vAlign w:val="center"/>
          </w:tcPr>
          <w:p>
            <w:r>
              <w:rPr>
                <w:sz w:val="16"/>
              </w:rPr>
              <w:t>Airflow / Cloud Composer</w:t>
            </w:r>
          </w:p>
        </w:tc>
        <w:tc>
          <w:tcPr>
            <w:tcW w:type="dxa" w:w="3312"/>
            <w:vAlign w:val="center"/>
          </w:tcPr>
          <w:p>
            <w:r>
              <w:rPr>
                <w:sz w:val="16"/>
              </w:rPr>
              <w:t>Orchestrates source DAG tasks</w:t>
            </w:r>
          </w:p>
        </w:tc>
        <w:tc>
          <w:tcPr>
            <w:tcW w:type="dxa" w:w="3312"/>
            <w:vAlign w:val="center"/>
          </w:tcPr>
          <w:p>
            <w:r>
              <w:rPr>
                <w:sz w:val="16"/>
              </w:rPr>
              <w:t>Steps kab/kaise chalenge</w:t>
            </w:r>
          </w:p>
        </w:tc>
      </w:tr>
      <w:tr>
        <w:tc>
          <w:tcPr>
            <w:tcW w:type="dxa" w:w="3312"/>
            <w:vAlign w:val="center"/>
          </w:tcPr>
          <w:p>
            <w:r>
              <w:rPr>
                <w:sz w:val="16"/>
              </w:rPr>
              <w:t>MDD / DAP engine</w:t>
            </w:r>
          </w:p>
        </w:tc>
        <w:tc>
          <w:tcPr>
            <w:tcW w:type="dxa" w:w="3312"/>
            <w:vAlign w:val="center"/>
          </w:tcPr>
          <w:p>
            <w:r>
              <w:rPr>
                <w:sz w:val="16"/>
              </w:rPr>
              <w:t>Configuration-driven parsing, validations and transformation</w:t>
            </w:r>
          </w:p>
        </w:tc>
        <w:tc>
          <w:tcPr>
            <w:tcW w:type="dxa" w:w="3312"/>
            <w:vAlign w:val="center"/>
          </w:tcPr>
          <w:p>
            <w:r>
              <w:rPr>
                <w:sz w:val="16"/>
              </w:rPr>
              <w:t>Actual processing engine</w:t>
            </w:r>
          </w:p>
        </w:tc>
      </w:tr>
      <w:tr>
        <w:tc>
          <w:tcPr>
            <w:tcW w:type="dxa" w:w="3312"/>
            <w:vAlign w:val="center"/>
          </w:tcPr>
          <w:p>
            <w:r>
              <w:rPr>
                <w:sz w:val="16"/>
              </w:rPr>
              <w:t>Dataproc / Spark</w:t>
            </w:r>
          </w:p>
        </w:tc>
        <w:tc>
          <w:tcPr>
            <w:tcW w:type="dxa" w:w="3312"/>
            <w:vAlign w:val="center"/>
          </w:tcPr>
          <w:p>
            <w:r>
              <w:rPr>
                <w:sz w:val="16"/>
              </w:rPr>
              <w:t>Executes distributed processing jobs</w:t>
            </w:r>
          </w:p>
        </w:tc>
        <w:tc>
          <w:tcPr>
            <w:tcW w:type="dxa" w:w="3312"/>
            <w:vAlign w:val="center"/>
          </w:tcPr>
          <w:p>
            <w:r>
              <w:rPr>
                <w:sz w:val="16"/>
              </w:rPr>
              <w:t>Cluster mein heavy processing</w:t>
            </w:r>
          </w:p>
        </w:tc>
      </w:tr>
      <w:tr>
        <w:tc>
          <w:tcPr>
            <w:tcW w:type="dxa" w:w="3312"/>
            <w:vAlign w:val="center"/>
          </w:tcPr>
          <w:p>
            <w:r>
              <w:rPr>
                <w:sz w:val="16"/>
              </w:rPr>
              <w:t>BigQuery / Parquet outputs</w:t>
            </w:r>
          </w:p>
        </w:tc>
        <w:tc>
          <w:tcPr>
            <w:tcW w:type="dxa" w:w="3312"/>
            <w:vAlign w:val="center"/>
          </w:tcPr>
          <w:p>
            <w:r>
              <w:rPr>
                <w:sz w:val="16"/>
              </w:rPr>
              <w:t>Stores processing, match and reporting outputs</w:t>
            </w:r>
          </w:p>
        </w:tc>
        <w:tc>
          <w:tcPr>
            <w:tcW w:type="dxa" w:w="3312"/>
            <w:vAlign w:val="center"/>
          </w:tcPr>
          <w:p>
            <w:r>
              <w:rPr>
                <w:sz w:val="16"/>
              </w:rPr>
              <w:t>Record checks ke liye tables</w:t>
            </w:r>
          </w:p>
        </w:tc>
      </w:tr>
      <w:tr>
        <w:tc>
          <w:tcPr>
            <w:tcW w:type="dxa" w:w="3312"/>
            <w:vAlign w:val="center"/>
          </w:tcPr>
          <w:p>
            <w:r>
              <w:rPr>
                <w:sz w:val="16"/>
              </w:rPr>
              <w:t>GBS</w:t>
            </w:r>
          </w:p>
        </w:tc>
        <w:tc>
          <w:tcPr>
            <w:tcW w:type="dxa" w:w="3312"/>
            <w:vAlign w:val="center"/>
          </w:tcPr>
          <w:p>
            <w:r>
              <w:rPr>
                <w:sz w:val="16"/>
              </w:rPr>
              <w:t>External entity matching service returning DUNS results</w:t>
            </w:r>
          </w:p>
        </w:tc>
        <w:tc>
          <w:tcPr>
            <w:tcW w:type="dxa" w:w="3312"/>
            <w:vAlign w:val="center"/>
          </w:tcPr>
          <w:p>
            <w:r>
              <w:rPr>
                <w:sz w:val="16"/>
              </w:rPr>
              <w:t>Company ka DUNS match</w:t>
            </w:r>
          </w:p>
        </w:tc>
      </w:tr>
      <w:tr>
        <w:tc>
          <w:tcPr>
            <w:tcW w:type="dxa" w:w="3312"/>
            <w:vAlign w:val="center"/>
          </w:tcPr>
          <w:p>
            <w:r>
              <w:rPr>
                <w:sz w:val="16"/>
              </w:rPr>
              <w:t>iResearch</w:t>
            </w:r>
          </w:p>
        </w:tc>
        <w:tc>
          <w:tcPr>
            <w:tcW w:type="dxa" w:w="3312"/>
            <w:vAlign w:val="center"/>
          </w:tcPr>
          <w:p>
            <w:r>
              <w:rPr>
                <w:sz w:val="16"/>
              </w:rPr>
              <w:t>Manual/costly alternative DUNS research</w:t>
            </w:r>
          </w:p>
        </w:tc>
        <w:tc>
          <w:tcPr>
            <w:tcW w:type="dxa" w:w="3312"/>
            <w:vAlign w:val="center"/>
          </w:tcPr>
          <w:p>
            <w:r>
              <w:rPr>
                <w:sz w:val="16"/>
              </w:rPr>
              <w:t>Repeated unmatched cases ki research</w:t>
            </w:r>
          </w:p>
        </w:tc>
      </w:tr>
      <w:tr>
        <w:tc>
          <w:tcPr>
            <w:tcW w:type="dxa" w:w="3312"/>
            <w:vAlign w:val="center"/>
          </w:tcPr>
          <w:p>
            <w:r>
              <w:rPr>
                <w:sz w:val="16"/>
              </w:rPr>
              <w:t>MetricsHub</w:t>
            </w:r>
          </w:p>
        </w:tc>
        <w:tc>
          <w:tcPr>
            <w:tcW w:type="dxa" w:w="3312"/>
            <w:vAlign w:val="center"/>
          </w:tcPr>
          <w:p>
            <w:r>
              <w:rPr>
                <w:sz w:val="16"/>
              </w:rPr>
              <w:t>Receives DQ and processing audit errors</w:t>
            </w:r>
          </w:p>
        </w:tc>
        <w:tc>
          <w:tcPr>
            <w:tcW w:type="dxa" w:w="3312"/>
            <w:vAlign w:val="center"/>
          </w:tcPr>
          <w:p>
            <w:r>
              <w:rPr>
                <w:sz w:val="16"/>
              </w:rPr>
              <w:t>Data owners ke liye error reporting</w:t>
            </w:r>
          </w:p>
        </w:tc>
      </w:tr>
      <w:tr>
        <w:tc>
          <w:tcPr>
            <w:tcW w:type="dxa" w:w="3312"/>
            <w:vAlign w:val="center"/>
          </w:tcPr>
          <w:p>
            <w:r>
              <w:rPr>
                <w:sz w:val="16"/>
              </w:rPr>
              <w:t>One-Click Operations</w:t>
            </w:r>
          </w:p>
        </w:tc>
        <w:tc>
          <w:tcPr>
            <w:tcW w:type="dxa" w:w="3312"/>
            <w:vAlign w:val="center"/>
          </w:tcPr>
          <w:p>
            <w:r>
              <w:rPr>
                <w:sz w:val="16"/>
              </w:rPr>
              <w:t>Job status, counts, subprocesses and restart UI</w:t>
            </w:r>
          </w:p>
        </w:tc>
        <w:tc>
          <w:tcPr>
            <w:tcW w:type="dxa" w:w="3312"/>
            <w:vAlign w:val="center"/>
          </w:tcPr>
          <w:p>
            <w:r>
              <w:rPr>
                <w:sz w:val="16"/>
              </w:rPr>
              <w:t>Monitoring aur recovery screen</w:t>
            </w:r>
          </w:p>
        </w:tc>
      </w:tr>
    </w:tbl>
    <w:p>
      <w:pPr>
        <w:pStyle w:val="Heading1"/>
      </w:pPr>
      <w:r>
        <w:t>2. Source file ingestion: AWS to GCP</w:t>
      </w:r>
    </w:p>
    <w:p>
      <w:pPr>
        <w:pStyle w:val="Heading2"/>
      </w:pPr>
      <w:r>
        <w:t>2.1 AWS production path</w:t>
      </w:r>
    </w:p>
    <w:p>
      <w:r>
        <w:rPr>
          <w:b/>
        </w:rPr>
        <w:t xml:space="preserve">English: </w:t>
      </w:r>
      <w:r>
        <w:t>Government APIs are called by source-related AWS Lambda functions. Lambda runs Python code to fetch files; the Exclusion example lands in an S3 Exclusions/ folder, with ZIP files visible in the screenshot.</w:t>
      </w:r>
    </w:p>
    <w:p>
      <w:r>
        <w:rPr>
          <w:b/>
        </w:rPr>
        <w:t xml:space="preserve">Easy Hindi/Hinglish: </w:t>
      </w:r>
      <w:r>
        <w:t>Har government source ka Lambda Python code source API se file uthata hai. Exclusion ka example S3 ke Exclusions/ folder mein ZIP form mein dikhaya gaya.</w:t>
      </w:r>
    </w:p>
    <w:p>
      <w:r>
        <w:t>The AWS access portal screenshot showed Production, Sandbox and UAT entries; do not treat all three as production accounts. The Lambda console displayed a list of functions in the selected production AWS environment.</w:t>
      </w:r>
    </w:p>
    <w:p>
      <w:pPr>
        <w:pStyle w:val="Heading2"/>
      </w:pPr>
      <w:r>
        <w:t>2.2 Transfer S3 → GCS</w:t>
      </w:r>
    </w:p>
    <w:p>
      <w:r>
        <w:rPr>
          <w:b/>
        </w:rPr>
        <w:t xml:space="preserve">English: </w:t>
      </w:r>
      <w:r>
        <w:t>GCP Storage Transfer Service jobs contain the source AWS S3 location and destination Google Cloud Storage location. Files are transferred from the S3 landing bucket into the DAS/GCP-side GCS bucket.</w:t>
      </w:r>
    </w:p>
    <w:p>
      <w:r>
        <w:rPr>
          <w:b/>
        </w:rPr>
        <w:t xml:space="preserve">Easy Hindi/Hinglish: </w:t>
      </w:r>
      <w:r>
        <w:t>STS job mein source S3 bucket aur destination GCS bucket configured hota hai. S3 mein file aane ke baad GCS mein transfer ki jaati hai.</w:t>
      </w:r>
    </w:p>
    <w:p>
      <w:r>
        <w:rPr>
          <w:b/>
        </w:rPr>
        <w:t xml:space="preserve">IMPORTANT: </w:t>
      </w:r>
      <w:r>
        <w:t>The precise STS schedule/trigger, source/destination paths and bucket identifiers were not fully verified in the shared KT transcript. Obtain these from the console before operational use.</w:t>
      </w:r>
    </w:p>
    <w:p>
      <w:pPr>
        <w:pStyle w:val="Heading2"/>
      </w:pPr>
      <w:r>
        <w:t>2.3 GCS to Airflow</w:t>
      </w:r>
    </w:p>
    <w:p>
      <w:r>
        <w:t>A separate Airflow DAG exists for each source. The example shown was exclusion-Daily-Seed-Complete_DAP. The screenshot displayed Schedule: None, while narration referred to triggered/scheduled execution. Therefore the external triggering mechanism must be confirmed rather than assumed.</w:t>
      </w:r>
    </w:p>
    <w:p>
      <w:pPr>
        <w:pStyle w:val="Heading1"/>
      </w:pPr>
      <w:r>
        <w:t>3. Airflow DAG, step by step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Order / task</w:t>
            </w:r>
          </w:p>
        </w:tc>
        <w:tc>
          <w:tcPr>
            <w:tcW w:type="dxa" w:w="3312"/>
            <w:vAlign w:val="center"/>
          </w:tcPr>
          <w:p>
            <w:r>
              <w:rPr>
                <w:sz w:val="16"/>
              </w:rPr>
              <w:t>What happens</w:t>
            </w:r>
          </w:p>
        </w:tc>
        <w:tc>
          <w:tcPr>
            <w:tcW w:type="dxa" w:w="3312"/>
            <w:vAlign w:val="center"/>
          </w:tcPr>
          <w:p>
            <w:r>
              <w:rPr>
                <w:sz w:val="16"/>
              </w:rPr>
              <w:t>What to check</w:t>
            </w:r>
          </w:p>
        </w:tc>
      </w:tr>
      <w:tr>
        <w:tc>
          <w:tcPr>
            <w:tcW w:type="dxa" w:w="3312"/>
            <w:vAlign w:val="center"/>
          </w:tcPr>
          <w:p>
            <w:r>
              <w:rPr>
                <w:sz w:val="16"/>
              </w:rPr>
              <w:t>1 init_dag_run</w:t>
            </w:r>
          </w:p>
        </w:tc>
        <w:tc>
          <w:tcPr>
            <w:tcW w:type="dxa" w:w="3312"/>
            <w:vAlign w:val="center"/>
          </w:tcPr>
          <w:p>
            <w:r>
              <w:rPr>
                <w:sz w:val="16"/>
              </w:rPr>
              <w:t>Initial run setup; missing config can fail here</w:t>
            </w:r>
          </w:p>
        </w:tc>
        <w:tc>
          <w:tcPr>
            <w:tcW w:type="dxa" w:w="3312"/>
            <w:vAlign w:val="center"/>
          </w:tcPr>
          <w:p>
            <w:r>
              <w:rPr>
                <w:sz w:val="16"/>
              </w:rPr>
              <w:t>Config exists, initial task logs</w:t>
            </w:r>
          </w:p>
        </w:tc>
      </w:tr>
      <w:tr>
        <w:tc>
          <w:tcPr>
            <w:tcW w:type="dxa" w:w="3312"/>
            <w:vAlign w:val="center"/>
          </w:tcPr>
          <w:p>
            <w:r>
              <w:rPr>
                <w:sz w:val="16"/>
              </w:rPr>
              <w:t>2 files_to_process</w:t>
            </w:r>
          </w:p>
        </w:tc>
        <w:tc>
          <w:tcPr>
            <w:tcW w:type="dxa" w:w="3312"/>
            <w:vAlign w:val="center"/>
          </w:tcPr>
          <w:p>
            <w:r>
              <w:rPr>
                <w:sz w:val="16"/>
              </w:rPr>
              <w:t>Scan GCS, validate filename against configured regex</w:t>
            </w:r>
          </w:p>
        </w:tc>
        <w:tc>
          <w:tcPr>
            <w:tcW w:type="dxa" w:w="3312"/>
            <w:vAlign w:val="center"/>
          </w:tcPr>
          <w:p>
            <w:r>
              <w:rPr>
                <w:sz w:val="16"/>
              </w:rPr>
              <w:t>GCS file path, regex, accepted file format</w:t>
            </w:r>
          </w:p>
        </w:tc>
      </w:tr>
      <w:tr>
        <w:tc>
          <w:tcPr>
            <w:tcW w:type="dxa" w:w="3312"/>
            <w:vAlign w:val="center"/>
          </w:tcPr>
          <w:p>
            <w:r>
              <w:rPr>
                <w:sz w:val="16"/>
              </w:rPr>
              <w:t>3 create_batch_config</w:t>
            </w:r>
          </w:p>
        </w:tc>
        <w:tc>
          <w:tcPr>
            <w:tcW w:type="dxa" w:w="3312"/>
            <w:vAlign w:val="center"/>
          </w:tcPr>
          <w:p>
            <w:r>
              <w:rPr>
                <w:sz w:val="16"/>
              </w:rPr>
              <w:t>Build/update batch metadata and config.json</w:t>
            </w:r>
          </w:p>
        </w:tc>
        <w:tc>
          <w:tcPr>
            <w:tcW w:type="dxa" w:w="3312"/>
            <w:vAlign w:val="center"/>
          </w:tcPr>
          <w:p>
            <w:r>
              <w:rPr>
                <w:sz w:val="16"/>
              </w:rPr>
              <w:t>Workflow refreshed; correct current config</w:t>
            </w:r>
          </w:p>
        </w:tc>
      </w:tr>
      <w:tr>
        <w:tc>
          <w:tcPr>
            <w:tcW w:type="dxa" w:w="3312"/>
            <w:vAlign w:val="center"/>
          </w:tcPr>
          <w:p>
            <w:r>
              <w:rPr>
                <w:sz w:val="16"/>
              </w:rPr>
              <w:t>4 execute_engine</w:t>
            </w:r>
          </w:p>
        </w:tc>
        <w:tc>
          <w:tcPr>
            <w:tcW w:type="dxa" w:w="3312"/>
            <w:vAlign w:val="center"/>
          </w:tcPr>
          <w:p>
            <w:r>
              <w:rPr>
                <w:sz w:val="16"/>
              </w:rPr>
              <w:t>Dataproc/Spark: unzip, parse, validate, transform, load tables</w:t>
            </w:r>
          </w:p>
        </w:tc>
        <w:tc>
          <w:tcPr>
            <w:tcW w:type="dxa" w:w="3312"/>
            <w:vAlign w:val="center"/>
          </w:tcPr>
          <w:p>
            <w:r>
              <w:rPr>
                <w:sz w:val="16"/>
              </w:rPr>
              <w:t>Dataproc/Spark errors; source schema; load completeness</w:t>
            </w:r>
          </w:p>
        </w:tc>
      </w:tr>
      <w:tr>
        <w:tc>
          <w:tcPr>
            <w:tcW w:type="dxa" w:w="3312"/>
            <w:vAlign w:val="center"/>
          </w:tcPr>
          <w:p>
            <w:r>
              <w:rPr>
                <w:sz w:val="16"/>
              </w:rPr>
              <w:t>5 validate_row_counts</w:t>
            </w:r>
          </w:p>
        </w:tc>
        <w:tc>
          <w:tcPr>
            <w:tcW w:type="dxa" w:w="3312"/>
            <w:vAlign w:val="center"/>
          </w:tcPr>
          <w:p>
            <w:r>
              <w:rPr>
                <w:sz w:val="16"/>
              </w:rPr>
              <w:t>Compare source and processed counts for batch</w:t>
            </w:r>
          </w:p>
        </w:tc>
        <w:tc>
          <w:tcPr>
            <w:tcW w:type="dxa" w:w="3312"/>
            <w:vAlign w:val="center"/>
          </w:tcPr>
          <w:p>
            <w:r>
              <w:rPr>
                <w:sz w:val="16"/>
              </w:rPr>
              <w:t>Unexpected rejects, dedup, partial loads</w:t>
            </w:r>
          </w:p>
        </w:tc>
      </w:tr>
      <w:tr>
        <w:tc>
          <w:tcPr>
            <w:tcW w:type="dxa" w:w="3312"/>
            <w:vAlign w:val="center"/>
          </w:tcPr>
          <w:p>
            <w:r>
              <w:rPr>
                <w:sz w:val="16"/>
              </w:rPr>
              <w:t>6 run_match_input</w:t>
            </w:r>
          </w:p>
        </w:tc>
        <w:tc>
          <w:tcPr>
            <w:tcW w:type="dxa" w:w="3312"/>
            <w:vAlign w:val="center"/>
          </w:tcPr>
          <w:p>
            <w:r>
              <w:rPr>
                <w:sz w:val="16"/>
              </w:rPr>
              <w:t>Run match query and build GBS input records/file</w:t>
            </w:r>
          </w:p>
        </w:tc>
        <w:tc>
          <w:tcPr>
            <w:tcW w:type="dxa" w:w="3312"/>
            <w:vAlign w:val="center"/>
          </w:tcPr>
          <w:p>
            <w:r>
              <w:rPr>
                <w:sz w:val="16"/>
              </w:rPr>
              <w:t>Query, match config and acceptance-file path</w:t>
            </w:r>
          </w:p>
        </w:tc>
      </w:tr>
      <w:tr>
        <w:tc>
          <w:tcPr>
            <w:tcW w:type="dxa" w:w="3312"/>
            <w:vAlign w:val="center"/>
          </w:tcPr>
          <w:p>
            <w:r>
              <w:rPr>
                <w:sz w:val="16"/>
              </w:rPr>
              <w:t>7 send_match_files_to_gbs</w:t>
            </w:r>
          </w:p>
        </w:tc>
        <w:tc>
          <w:tcPr>
            <w:tcW w:type="dxa" w:w="3312"/>
            <w:vAlign w:val="center"/>
          </w:tcPr>
          <w:p>
            <w:r>
              <w:rPr>
                <w:sz w:val="16"/>
              </w:rPr>
              <w:t>Place request file in S3 PUT path for GBS</w:t>
            </w:r>
          </w:p>
        </w:tc>
        <w:tc>
          <w:tcPr>
            <w:tcW w:type="dxa" w:w="3312"/>
            <w:vAlign w:val="center"/>
          </w:tcPr>
          <w:p>
            <w:r>
              <w:rPr>
                <w:sz w:val="16"/>
              </w:rPr>
              <w:t>Connectivity/permissions; request sent</w:t>
            </w:r>
          </w:p>
        </w:tc>
      </w:tr>
      <w:tr>
        <w:tc>
          <w:tcPr>
            <w:tcW w:type="dxa" w:w="3312"/>
            <w:vAlign w:val="center"/>
          </w:tcPr>
          <w:p>
            <w:r>
              <w:rPr>
                <w:sz w:val="16"/>
              </w:rPr>
              <w:t>8 wait_for_match_response</w:t>
            </w:r>
          </w:p>
        </w:tc>
        <w:tc>
          <w:tcPr>
            <w:tcW w:type="dxa" w:w="3312"/>
            <w:vAlign w:val="center"/>
          </w:tcPr>
          <w:p>
            <w:r>
              <w:rPr>
                <w:sz w:val="16"/>
              </w:rPr>
              <w:t>Wait for queued GBS reply (usually within 24h)</w:t>
            </w:r>
          </w:p>
        </w:tc>
        <w:tc>
          <w:tcPr>
            <w:tcW w:type="dxa" w:w="3312"/>
            <w:vAlign w:val="center"/>
          </w:tcPr>
          <w:p>
            <w:r>
              <w:rPr>
                <w:sz w:val="16"/>
              </w:rPr>
              <w:t>Timeout; whether GET response exists</w:t>
            </w:r>
          </w:p>
        </w:tc>
      </w:tr>
      <w:tr>
        <w:tc>
          <w:tcPr>
            <w:tcW w:type="dxa" w:w="3312"/>
            <w:vAlign w:val="center"/>
          </w:tcPr>
          <w:p>
            <w:r>
              <w:rPr>
                <w:sz w:val="16"/>
              </w:rPr>
              <w:t>9 convert_match_response_to_parquet</w:t>
            </w:r>
          </w:p>
        </w:tc>
        <w:tc>
          <w:tcPr>
            <w:tcW w:type="dxa" w:w="3312"/>
            <w:vAlign w:val="center"/>
          </w:tcPr>
          <w:p>
            <w:r>
              <w:rPr>
                <w:sz w:val="16"/>
              </w:rPr>
              <w:t>Convert GBS reply to Parquet output</w:t>
            </w:r>
          </w:p>
        </w:tc>
        <w:tc>
          <w:tcPr>
            <w:tcW w:type="dxa" w:w="3312"/>
            <w:vAlign w:val="center"/>
          </w:tcPr>
          <w:p>
            <w:r>
              <w:rPr>
                <w:sz w:val="16"/>
              </w:rPr>
              <w:t>Conversion and format checks</w:t>
            </w:r>
          </w:p>
        </w:tc>
      </w:tr>
      <w:tr>
        <w:tc>
          <w:tcPr>
            <w:tcW w:type="dxa" w:w="3312"/>
            <w:vAlign w:val="center"/>
          </w:tcPr>
          <w:p>
            <w:r>
              <w:rPr>
                <w:sz w:val="16"/>
              </w:rPr>
              <w:t>10 validate_match_counts</w:t>
            </w:r>
          </w:p>
        </w:tc>
        <w:tc>
          <w:tcPr>
            <w:tcW w:type="dxa" w:w="3312"/>
            <w:vAlign w:val="center"/>
          </w:tcPr>
          <w:p>
            <w:r>
              <w:rPr>
                <w:sz w:val="16"/>
              </w:rPr>
              <w:t>Validate request/response counts</w:t>
            </w:r>
          </w:p>
        </w:tc>
        <w:tc>
          <w:tcPr>
            <w:tcW w:type="dxa" w:w="3312"/>
            <w:vAlign w:val="center"/>
          </w:tcPr>
          <w:p>
            <w:r>
              <w:rPr>
                <w:sz w:val="16"/>
              </w:rPr>
              <w:t>405 vs 430; expected count behavior</w:t>
            </w:r>
          </w:p>
        </w:tc>
      </w:tr>
      <w:tr>
        <w:tc>
          <w:tcPr>
            <w:tcW w:type="dxa" w:w="3312"/>
            <w:vAlign w:val="center"/>
          </w:tcPr>
          <w:p>
            <w:r>
              <w:rPr>
                <w:sz w:val="16"/>
              </w:rPr>
              <w:t>11 match_postprocess</w:t>
            </w:r>
          </w:p>
        </w:tc>
        <w:tc>
          <w:tcPr>
            <w:tcW w:type="dxa" w:w="3312"/>
            <w:vAlign w:val="center"/>
          </w:tcPr>
          <w:p>
            <w:r>
              <w:rPr>
                <w:sz w:val="16"/>
              </w:rPr>
              <w:t>Post-matching tasks (full internal logic not detailed)</w:t>
            </w:r>
          </w:p>
        </w:tc>
        <w:tc>
          <w:tcPr>
            <w:tcW w:type="dxa" w:w="3312"/>
            <w:vAlign w:val="center"/>
          </w:tcPr>
          <w:p>
            <w:r>
              <w:rPr>
                <w:sz w:val="16"/>
              </w:rPr>
              <w:t>ER/acceptance processing results</w:t>
            </w:r>
          </w:p>
        </w:tc>
      </w:tr>
      <w:tr>
        <w:tc>
          <w:tcPr>
            <w:tcW w:type="dxa" w:w="3312"/>
            <w:vAlign w:val="center"/>
          </w:tcPr>
          <w:p>
            <w:r>
              <w:rPr>
                <w:sz w:val="16"/>
              </w:rPr>
              <w:t>12 publish_data_audits</w:t>
            </w:r>
          </w:p>
        </w:tc>
        <w:tc>
          <w:tcPr>
            <w:tcW w:type="dxa" w:w="3312"/>
            <w:vAlign w:val="center"/>
          </w:tcPr>
          <w:p>
            <w:r>
              <w:rPr>
                <w:sz w:val="16"/>
              </w:rPr>
              <w:t>Publish DQ and processing events to MetricsHub</w:t>
            </w:r>
          </w:p>
        </w:tc>
        <w:tc>
          <w:tcPr>
            <w:tcW w:type="dxa" w:w="3312"/>
            <w:vAlign w:val="center"/>
          </w:tcPr>
          <w:p>
            <w:r>
              <w:rPr>
                <w:sz w:val="16"/>
              </w:rPr>
              <w:t>Audit delivery and errors</w:t>
            </w:r>
          </w:p>
        </w:tc>
      </w:tr>
      <w:tr>
        <w:tc>
          <w:tcPr>
            <w:tcW w:type="dxa" w:w="3312"/>
            <w:vAlign w:val="center"/>
          </w:tcPr>
          <w:p>
            <w:r>
              <w:rPr>
                <w:sz w:val="16"/>
              </w:rPr>
              <w:t>13 publish_domain_views</w:t>
            </w:r>
          </w:p>
        </w:tc>
        <w:tc>
          <w:tcPr>
            <w:tcW w:type="dxa" w:w="3312"/>
            <w:vAlign w:val="center"/>
          </w:tcPr>
          <w:p>
            <w:r>
              <w:rPr>
                <w:sz w:val="16"/>
              </w:rPr>
              <w:t>Publish consolidated domain view data</w:t>
            </w:r>
          </w:p>
        </w:tc>
        <w:tc>
          <w:tcPr>
            <w:tcW w:type="dxa" w:w="3312"/>
            <w:vAlign w:val="center"/>
          </w:tcPr>
          <w:p>
            <w:r>
              <w:rPr>
                <w:sz w:val="16"/>
              </w:rPr>
              <w:t>Concurrency conflicts; snapshot updated</w:t>
            </w:r>
          </w:p>
        </w:tc>
      </w:tr>
      <w:tr>
        <w:tc>
          <w:tcPr>
            <w:tcW w:type="dxa" w:w="3312"/>
            <w:vAlign w:val="center"/>
          </w:tcPr>
          <w:p>
            <w:r>
              <w:rPr>
                <w:sz w:val="16"/>
              </w:rPr>
              <w:t>14 end_dag_run</w:t>
            </w:r>
          </w:p>
        </w:tc>
        <w:tc>
          <w:tcPr>
            <w:tcW w:type="dxa" w:w="3312"/>
            <w:vAlign w:val="center"/>
          </w:tcPr>
          <w:p>
            <w:r>
              <w:rPr>
                <w:sz w:val="16"/>
              </w:rPr>
              <w:t>Finalize DAG once required steps complete</w:t>
            </w:r>
          </w:p>
        </w:tc>
        <w:tc>
          <w:tcPr>
            <w:tcW w:type="dxa" w:w="3312"/>
            <w:vAlign w:val="center"/>
          </w:tcPr>
          <w:p>
            <w:r>
              <w:rPr>
                <w:sz w:val="16"/>
              </w:rPr>
              <w:t>Overall DAG end status</w:t>
            </w:r>
          </w:p>
        </w:tc>
      </w:tr>
    </w:tbl>
    <w:p>
      <w:r>
        <w:rPr>
          <w:b/>
        </w:rPr>
        <w:t xml:space="preserve">IMPORTANT: </w:t>
      </w:r>
      <w:r>
        <w:t>Additional intermediate tasks such as process_iResearch and DUNS matching were visible in the Airflow screenshot. Task names and step order can vary by source, feature flags and DAG version. Matching is optional for sources not configured for it.</w:t>
      </w:r>
    </w:p>
    <w:p>
      <w:pPr>
        <w:pStyle w:val="Heading2"/>
      </w:pPr>
      <w:r>
        <w:t>3.1 Processing phase names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Phase</w:t>
            </w:r>
          </w:p>
        </w:tc>
        <w:tc>
          <w:tcPr>
            <w:tcW w:type="dxa" w:w="4968"/>
            <w:vAlign w:val="center"/>
          </w:tcPr>
          <w:p>
            <w:r>
              <w:rPr>
                <w:sz w:val="16"/>
              </w:rPr>
              <w:t>Speaker’s high-level meaning</w:t>
            </w:r>
          </w:p>
        </w:tc>
      </w:tr>
      <w:tr>
        <w:tc>
          <w:tcPr>
            <w:tcW w:type="dxa" w:w="4968"/>
            <w:vAlign w:val="center"/>
          </w:tcPr>
          <w:p>
            <w:r>
              <w:rPr>
                <w:sz w:val="16"/>
              </w:rPr>
              <w:t>Raw in process</w:t>
            </w:r>
          </w:p>
        </w:tc>
        <w:tc>
          <w:tcPr>
            <w:tcW w:type="dxa" w:w="4968"/>
            <w:vAlign w:val="center"/>
          </w:tcPr>
          <w:p>
            <w:r>
              <w:rPr>
                <w:sz w:val="16"/>
              </w:rPr>
              <w:t>Initial settings/configuration and ingestion setup</w:t>
            </w:r>
          </w:p>
        </w:tc>
      </w:tr>
      <w:tr>
        <w:tc>
          <w:tcPr>
            <w:tcW w:type="dxa" w:w="4968"/>
            <w:vAlign w:val="center"/>
          </w:tcPr>
          <w:p>
            <w:r>
              <w:rPr>
                <w:sz w:val="16"/>
              </w:rPr>
              <w:t>Discovery in process</w:t>
            </w:r>
          </w:p>
        </w:tc>
        <w:tc>
          <w:tcPr>
            <w:tcW w:type="dxa" w:w="4968"/>
            <w:vAlign w:val="center"/>
          </w:tcPr>
          <w:p>
            <w:r>
              <w:rPr>
                <w:sz w:val="16"/>
              </w:rPr>
              <w:t>Data processing, matching, entity resolution and related tasks</w:t>
            </w:r>
          </w:p>
        </w:tc>
      </w:tr>
      <w:tr>
        <w:tc>
          <w:tcPr>
            <w:tcW w:type="dxa" w:w="4968"/>
            <w:vAlign w:val="center"/>
          </w:tcPr>
          <w:p>
            <w:r>
              <w:rPr>
                <w:sz w:val="16"/>
              </w:rPr>
              <w:t>Refining process</w:t>
            </w:r>
          </w:p>
        </w:tc>
        <w:tc>
          <w:tcPr>
            <w:tcW w:type="dxa" w:w="4968"/>
            <w:vAlign w:val="center"/>
          </w:tcPr>
          <w:p>
            <w:r>
              <w:rPr>
                <w:sz w:val="16"/>
              </w:rPr>
              <w:t>Publish/refine data for downstream consumers and send notification</w:t>
            </w:r>
          </w:p>
        </w:tc>
      </w:tr>
    </w:tbl>
    <w:p>
      <w:r>
        <w:t>The notification was pronounced like “DNS”; precise service and notification contract require confirmation.</w:t>
      </w:r>
    </w:p>
    <w:p>
      <w:pPr>
        <w:pStyle w:val="Heading1"/>
      </w:pPr>
      <w:r>
        <w:t>4. MDD UI, workflow refresh and config.json</w:t>
      </w:r>
    </w:p>
    <w:p>
      <w:r>
        <w:rPr>
          <w:b/>
        </w:rPr>
        <w:t xml:space="preserve">English: </w:t>
      </w:r>
      <w:r>
        <w:t>The MDD UI stores source-level setup such as input filename patterns, layouts, metadata, DQ rules, CDC/change detection, match queries, match priorities and acceptance-file configuration. create_batch_config generates a config.json for each batch from the relevant configuration.</w:t>
      </w:r>
    </w:p>
    <w:p>
      <w:r>
        <w:rPr>
          <w:b/>
        </w:rPr>
        <w:t xml:space="preserve">Easy Hindi/Hinglish: </w:t>
      </w:r>
      <w:r>
        <w:t>MDD UI mein source ke saare rules/config hote hain. Airflow ka create_batch_config batch ke liye JSON banata hai.</w:t>
      </w:r>
    </w:p>
    <w:p>
      <w:pPr>
        <w:pStyle w:val="Heading2"/>
      </w:pPr>
      <w:r>
        <w:t>4.1 Critical change-management rule</w:t>
      </w:r>
    </w:p>
    <w:p>
      <w:pPr>
        <w:pStyle w:val="ListNumber"/>
      </w:pPr>
      <w:r>
        <w:t>Modify source configuration in the MDD UI (for example datatype, match query or regex).</w:t>
      </w:r>
    </w:p>
    <w:p>
      <w:pPr>
        <w:pStyle w:val="ListNumber"/>
      </w:pPr>
      <w:r>
        <w:t>Use Manage Workflow → Refresh Workflow. This was explicitly stated as necessary for the updated UI configuration to reach config.json.</w:t>
      </w:r>
    </w:p>
    <w:p>
      <w:pPr>
        <w:pStyle w:val="ListNumber"/>
      </w:pPr>
      <w:r>
        <w:t>Verify that the next generated batch JSON contains the intended change.</w:t>
      </w:r>
    </w:p>
    <w:p>
      <w:pPr>
        <w:pStyle w:val="ListNumber"/>
      </w:pPr>
      <w:r>
        <w:t>If a previously failed job needs regenerated configuration, restart from the appropriate previous/config-creation step, not blindly from execute_engine.</w:t>
      </w:r>
    </w:p>
    <w:p>
      <w:r>
        <w:rPr>
          <w:b/>
        </w:rPr>
        <w:t xml:space="preserve">IMPORTANT: </w:t>
      </w:r>
      <w:r>
        <w:t>A missing workflow refresh means the UI edits may not be reflected in the batch JSON. A match acceptance file migrated from staging may still point to a staging GCS bucket unless it is re-uploaded/referenced correctly in production.</w:t>
      </w:r>
    </w:p>
    <w:p>
      <w:pPr>
        <w:pStyle w:val="Heading2"/>
      </w:pPr>
      <w:r>
        <w:t>4.2 Multi-priority match queries</w:t>
      </w:r>
    </w:p>
    <w:p>
      <w:r>
        <w:t>A source such as SAM UEI can have two different addresses (primary and mailing). Separate configured match priorities/queries may produce requests using each address. Whether these are sequential fallback attempts or independent requests was not confirmed.</w:t>
      </w:r>
    </w:p>
    <w:p>
      <w:pPr>
        <w:pStyle w:val="Heading1"/>
      </w:pPr>
      <w:r>
        <w:t>5. MDD processing outputs, CDC and counts</w:t>
      </w:r>
    </w:p>
    <w:p>
      <w:pPr>
        <w:pStyle w:val="Heading2"/>
      </w:pPr>
      <w:r>
        <w:t>5.1 What the engine does</w:t>
      </w:r>
    </w:p>
    <w:p>
      <w:r>
        <w:t>Input ZIP → unzip CSV → parse fields → validate types and DQ rules → source-to-canonical transformation → intermediate/Parquet output → canonical output. The speaker offered a separate full MDD engine KT for detailed execution internals.</w:t>
      </w:r>
    </w:p>
    <w:p>
      <w:pPr>
        <w:pStyle w:val="Heading2"/>
      </w:pPr>
      <w:r>
        <w:t>5.2 Common table / status codes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Code / category</w:t>
            </w:r>
          </w:p>
        </w:tc>
        <w:tc>
          <w:tcPr>
            <w:tcW w:type="dxa" w:w="3312"/>
            <w:vAlign w:val="center"/>
          </w:tcPr>
          <w:p>
            <w:r>
              <w:rPr>
                <w:sz w:val="16"/>
              </w:rPr>
              <w:t>Confirmed KT meaning</w:t>
            </w:r>
          </w:p>
        </w:tc>
        <w:tc>
          <w:tcPr>
            <w:tcW w:type="dxa" w:w="3312"/>
            <w:vAlign w:val="center"/>
          </w:tcPr>
          <w:p>
            <w:r>
              <w:rPr>
                <w:sz w:val="16"/>
              </w:rPr>
              <w:t>Monitoring interpretation</w:t>
            </w:r>
          </w:p>
        </w:tc>
      </w:tr>
      <w:tr>
        <w:tc>
          <w:tcPr>
            <w:tcW w:type="dxa" w:w="3312"/>
            <w:vAlign w:val="center"/>
          </w:tcPr>
          <w:p>
            <w:r>
              <w:rPr>
                <w:sz w:val="16"/>
              </w:rPr>
              <w:t>100 All / raw</w:t>
            </w:r>
          </w:p>
        </w:tc>
        <w:tc>
          <w:tcPr>
            <w:tcW w:type="dxa" w:w="3312"/>
            <w:vAlign w:val="center"/>
          </w:tcPr>
          <w:p>
            <w:r>
              <w:rPr>
                <w:sz w:val="16"/>
              </w:rPr>
              <w:t>Complete input/source data</w:t>
            </w:r>
          </w:p>
        </w:tc>
        <w:tc>
          <w:tcPr>
            <w:tcW w:type="dxa" w:w="3312"/>
            <w:vAlign w:val="center"/>
          </w:tcPr>
          <w:p>
            <w:r>
              <w:rPr>
                <w:sz w:val="16"/>
              </w:rPr>
              <w:t>Starting point for input record count</w:t>
            </w:r>
          </w:p>
        </w:tc>
      </w:tr>
      <w:tr>
        <w:tc>
          <w:tcPr>
            <w:tcW w:type="dxa" w:w="3312"/>
            <w:vAlign w:val="center"/>
          </w:tcPr>
          <w:p>
            <w:r>
              <w:rPr>
                <w:sz w:val="16"/>
              </w:rPr>
              <w:t>110 CDC</w:t>
            </w:r>
          </w:p>
        </w:tc>
        <w:tc>
          <w:tcPr>
            <w:tcW w:type="dxa" w:w="3312"/>
            <w:vAlign w:val="center"/>
          </w:tcPr>
          <w:p>
            <w:r>
              <w:rPr>
                <w:sz w:val="16"/>
              </w:rPr>
              <w:t>Changed records versus previous batch</w:t>
            </w:r>
          </w:p>
        </w:tc>
        <w:tc>
          <w:tcPr>
            <w:tcW w:type="dxa" w:w="3312"/>
            <w:vAlign w:val="center"/>
          </w:tcPr>
          <w:p>
            <w:r>
              <w:rPr>
                <w:sz w:val="16"/>
              </w:rPr>
              <w:t>Changed-set count; CDC rules matter</w:t>
            </w:r>
          </w:p>
        </w:tc>
      </w:tr>
      <w:tr>
        <w:tc>
          <w:tcPr>
            <w:tcW w:type="dxa" w:w="3312"/>
            <w:vAlign w:val="center"/>
          </w:tcPr>
          <w:p>
            <w:r>
              <w:rPr>
                <w:sz w:val="16"/>
              </w:rPr>
              <w:t>Unchanged category</w:t>
            </w:r>
          </w:p>
        </w:tc>
        <w:tc>
          <w:tcPr>
            <w:tcW w:type="dxa" w:w="3312"/>
            <w:vAlign w:val="center"/>
          </w:tcPr>
          <w:p>
            <w:r>
              <w:rPr>
                <w:sz w:val="16"/>
              </w:rPr>
              <w:t>Records unchanged versus prior batch</w:t>
            </w:r>
          </w:p>
        </w:tc>
        <w:tc>
          <w:tcPr>
            <w:tcW w:type="dxa" w:w="3312"/>
            <w:vAlign w:val="center"/>
          </w:tcPr>
          <w:p>
            <w:r>
              <w:rPr>
                <w:sz w:val="16"/>
              </w:rPr>
              <w:t>Exact numeric code was not clearly stated</w:t>
            </w:r>
          </w:p>
        </w:tc>
      </w:tr>
      <w:tr>
        <w:tc>
          <w:tcPr>
            <w:tcW w:type="dxa" w:w="3312"/>
            <w:vAlign w:val="center"/>
          </w:tcPr>
          <w:p>
            <w:r>
              <w:rPr>
                <w:sz w:val="16"/>
              </w:rPr>
              <w:t>130 Bad Records</w:t>
            </w:r>
          </w:p>
        </w:tc>
        <w:tc>
          <w:tcPr>
            <w:tcW w:type="dxa" w:w="3312"/>
            <w:vAlign w:val="center"/>
          </w:tcPr>
          <w:p>
            <w:r>
              <w:rPr>
                <w:sz w:val="16"/>
              </w:rPr>
              <w:t>Parsing and DQ failures</w:t>
            </w:r>
          </w:p>
        </w:tc>
        <w:tc>
          <w:tcPr>
            <w:tcW w:type="dxa" w:w="3312"/>
            <w:vAlign w:val="center"/>
          </w:tcPr>
          <w:p>
            <w:r>
              <w:rPr>
                <w:sz w:val="16"/>
              </w:rPr>
              <w:t>Look at reject reasons/rules</w:t>
            </w:r>
          </w:p>
        </w:tc>
      </w:tr>
      <w:tr>
        <w:tc>
          <w:tcPr>
            <w:tcW w:type="dxa" w:w="3312"/>
            <w:vAlign w:val="center"/>
          </w:tcPr>
          <w:p>
            <w:r>
              <w:rPr>
                <w:sz w:val="16"/>
              </w:rPr>
              <w:t>140 Invalidity</w:t>
            </w:r>
          </w:p>
        </w:tc>
        <w:tc>
          <w:tcPr>
            <w:tcW w:type="dxa" w:w="3312"/>
            <w:vAlign w:val="center"/>
          </w:tcPr>
          <w:p>
            <w:r>
              <w:rPr>
                <w:sz w:val="16"/>
              </w:rPr>
              <w:t>Previous full-file record absent in new full file</w:t>
            </w:r>
          </w:p>
        </w:tc>
        <w:tc>
          <w:tcPr>
            <w:tcW w:type="dxa" w:w="3312"/>
            <w:vAlign w:val="center"/>
          </w:tcPr>
          <w:p>
            <w:r>
              <w:rPr>
                <w:sz w:val="16"/>
              </w:rPr>
              <w:t>Represents deletion/invalidation logic; not infra failure</w:t>
            </w:r>
          </w:p>
        </w:tc>
      </w:tr>
      <w:tr>
        <w:tc>
          <w:tcPr>
            <w:tcW w:type="dxa" w:w="3312"/>
            <w:vAlign w:val="center"/>
          </w:tcPr>
          <w:p>
            <w:r>
              <w:rPr>
                <w:sz w:val="16"/>
              </w:rPr>
              <w:t>150 Deduplicated</w:t>
            </w:r>
          </w:p>
        </w:tc>
        <w:tc>
          <w:tcPr>
            <w:tcW w:type="dxa" w:w="3312"/>
            <w:vAlign w:val="center"/>
          </w:tcPr>
          <w:p>
            <w:r>
              <w:rPr>
                <w:sz w:val="16"/>
              </w:rPr>
              <w:t>Deduplication-related records</w:t>
            </w:r>
          </w:p>
        </w:tc>
        <w:tc>
          <w:tcPr>
            <w:tcW w:type="dxa" w:w="3312"/>
            <w:vAlign w:val="center"/>
          </w:tcPr>
          <w:p>
            <w:r>
              <w:rPr>
                <w:sz w:val="16"/>
              </w:rPr>
              <w:t>Investigate spikes and key logic</w:t>
            </w:r>
          </w:p>
        </w:tc>
      </w:tr>
      <w:tr>
        <w:tc>
          <w:tcPr>
            <w:tcW w:type="dxa" w:w="3312"/>
            <w:vAlign w:val="center"/>
          </w:tcPr>
          <w:p>
            <w:r>
              <w:rPr>
                <w:sz w:val="16"/>
              </w:rPr>
              <w:t>200 Success</w:t>
            </w:r>
          </w:p>
        </w:tc>
        <w:tc>
          <w:tcPr>
            <w:tcW w:type="dxa" w:w="3312"/>
            <w:vAlign w:val="center"/>
          </w:tcPr>
          <w:p>
            <w:r>
              <w:rPr>
                <w:sz w:val="16"/>
              </w:rPr>
              <w:t>Successfully processed records after transformations</w:t>
            </w:r>
          </w:p>
        </w:tc>
        <w:tc>
          <w:tcPr>
            <w:tcW w:type="dxa" w:w="3312"/>
            <w:vAlign w:val="center"/>
          </w:tcPr>
          <w:p>
            <w:r>
              <w:rPr>
                <w:sz w:val="16"/>
              </w:rPr>
              <w:t>Healthy processed record count</w:t>
            </w:r>
          </w:p>
        </w:tc>
      </w:tr>
      <w:tr>
        <w:tc>
          <w:tcPr>
            <w:tcW w:type="dxa" w:w="3312"/>
            <w:vAlign w:val="center"/>
          </w:tcPr>
          <w:p>
            <w:r>
              <w:rPr>
                <w:sz w:val="16"/>
              </w:rPr>
              <w:t>210 Extended</w:t>
            </w:r>
          </w:p>
        </w:tc>
        <w:tc>
          <w:tcPr>
            <w:tcW w:type="dxa" w:w="3312"/>
            <w:vAlign w:val="center"/>
          </w:tcPr>
          <w:p>
            <w:r>
              <w:rPr>
                <w:sz w:val="16"/>
              </w:rPr>
              <w:t>Derived/transformed fields output</w:t>
            </w:r>
          </w:p>
        </w:tc>
        <w:tc>
          <w:tcPr>
            <w:tcW w:type="dxa" w:w="3312"/>
            <w:vAlign w:val="center"/>
          </w:tcPr>
          <w:p>
            <w:r>
              <w:rPr>
                <w:sz w:val="16"/>
              </w:rPr>
              <w:t>Check source-to-derived mapping</w:t>
            </w:r>
          </w:p>
        </w:tc>
      </w:tr>
      <w:tr>
        <w:tc>
          <w:tcPr>
            <w:tcW w:type="dxa" w:w="3312"/>
            <w:vAlign w:val="center"/>
          </w:tcPr>
          <w:p>
            <w:r>
              <w:rPr>
                <w:sz w:val="16"/>
              </w:rPr>
              <w:t>600 Delta</w:t>
            </w:r>
          </w:p>
        </w:tc>
        <w:tc>
          <w:tcPr>
            <w:tcW w:type="dxa" w:w="3312"/>
            <w:vAlign w:val="center"/>
          </w:tcPr>
          <w:p>
            <w:r>
              <w:rPr>
                <w:sz w:val="16"/>
              </w:rPr>
              <w:t>New/changed current-batch records</w:t>
            </w:r>
          </w:p>
        </w:tc>
        <w:tc>
          <w:tcPr>
            <w:tcW w:type="dxa" w:w="3312"/>
            <w:vAlign w:val="center"/>
          </w:tcPr>
          <w:p>
            <w:r>
              <w:rPr>
                <w:sz w:val="16"/>
              </w:rPr>
              <w:t>Delta processing output</w:t>
            </w:r>
          </w:p>
        </w:tc>
      </w:tr>
      <w:tr>
        <w:tc>
          <w:tcPr>
            <w:tcW w:type="dxa" w:w="3312"/>
            <w:vAlign w:val="center"/>
          </w:tcPr>
          <w:p>
            <w:r>
              <w:rPr>
                <w:sz w:val="16"/>
              </w:rPr>
              <w:t>700 Master</w:t>
            </w:r>
          </w:p>
        </w:tc>
        <w:tc>
          <w:tcPr>
            <w:tcW w:type="dxa" w:w="3312"/>
            <w:vAlign w:val="center"/>
          </w:tcPr>
          <w:p>
            <w:r>
              <w:rPr>
                <w:sz w:val="16"/>
              </w:rPr>
              <w:t>Master-level dataset related to updated data</w:t>
            </w:r>
          </w:p>
        </w:tc>
        <w:tc>
          <w:tcPr>
            <w:tcW w:type="dxa" w:w="3312"/>
            <w:vAlign w:val="center"/>
          </w:tcPr>
          <w:p>
            <w:r>
              <w:rPr>
                <w:sz w:val="16"/>
              </w:rPr>
              <w:t>Exact 600-vs-700 semantics need verification</w:t>
            </w:r>
          </w:p>
        </w:tc>
      </w:tr>
    </w:tbl>
    <w:p>
      <w:r>
        <w:rPr>
          <w:b/>
        </w:rPr>
        <w:t xml:space="preserve">IMPORTANT: </w:t>
      </w:r>
      <w:r>
        <w:t>The 110/130/140/150/200/210/600/700 numbers are table/category identifiers, NOT automatically the record counts. Do not interpret “130 bad records” as exactly 130 errors.</w:t>
      </w:r>
    </w:p>
    <w:p>
      <w:pPr>
        <w:pStyle w:val="Heading2"/>
      </w:pPr>
      <w:r>
        <w:t>5.3 CDC and full snapshots</w:t>
      </w:r>
    </w:p>
    <w:p>
      <w:r>
        <w:rPr>
          <w:b/>
        </w:rPr>
        <w:t xml:space="preserve">English: </w:t>
      </w:r>
      <w:r>
        <w:t>CDC compares the current and previous batches to find modified/unchanged records. For full-file snapshots, the invalidity logic may identify a formerly present entity that is absent from the newer file.</w:t>
      </w:r>
    </w:p>
    <w:p>
      <w:r>
        <w:rPr>
          <w:b/>
        </w:rPr>
        <w:t xml:space="preserve">Easy Hindi/Hinglish: </w:t>
      </w:r>
      <w:r>
        <w:t>CDC matlab kal aur aaj ka batch compare. Agar full snapshot mein kal ka record tha aur aaj absent hai, to invalidity/deletion handling ho sakti hai.</w:t>
      </w:r>
    </w:p>
    <w:p>
      <w:r>
        <w:t>Example only: previous full file has A, B, C; current full file has A, C, D. B may be invalidated; D is new; A/C can be unchanged or changed based on their values. For incremental feeds, simple absence does not imply deletion.</w:t>
      </w:r>
    </w:p>
    <w:p>
      <w:pPr>
        <w:pStyle w:val="Heading2"/>
      </w:pPr>
      <w:r>
        <w:t>5.4 Row count monitoring</w:t>
      </w:r>
    </w:p>
    <w:p>
      <w:r>
        <w:t>validate_row_counts compares batch-level input and processed tables, and can expose unexpected deduplication, rejects or partial loads. Important: exact arithmetic equality should not be assumed without understanding filtering, CDC and dedup logic.</w:t>
      </w:r>
    </w:p>
    <w:p>
      <w:pPr>
        <w:pStyle w:val="Heading1"/>
      </w:pPr>
      <w:r>
        <w:t>6. GBS matching request and response</w:t>
      </w:r>
    </w:p>
    <w:p>
      <w:pPr>
        <w:pStyle w:val="Heading2"/>
      </w:pPr>
      <w:r>
        <w:t>6.1 Why match?</w:t>
      </w:r>
    </w:p>
    <w:p>
      <w:r>
        <w:rPr>
          <w:b/>
        </w:rPr>
        <w:t xml:space="preserve">English: </w:t>
      </w:r>
      <w:r>
        <w:t>A business entity from a government source may need to be linked to a DUNS (Data Universal Numbering System) identifier. The match request contains relevant legal business name, addresses, telephone, email and registration numbers when available.</w:t>
      </w:r>
    </w:p>
    <w:p>
      <w:r>
        <w:rPr>
          <w:b/>
        </w:rPr>
        <w:t xml:space="preserve">Easy Hindi/Hinglish: </w:t>
      </w:r>
      <w:r>
        <w:t>Company ko DUNS se identify karne ke liye naam/address/phone details GBS ko bhejte hain.</w:t>
      </w:r>
    </w:p>
    <w:p>
      <w:pPr>
        <w:pStyle w:val="Heading2"/>
      </w:pPr>
      <w:r>
        <w:t>6.2 PUT / GET flow</w:t>
      </w:r>
    </w:p>
    <w:p>
      <w:r>
        <w:t>MDD Match Request Query → run_match_input → create GBS request file → send_match_files_to_gbs → S3 PUT folder → GBS processing queue → S3 GET folder response → wait_for_match_response → convert response to Parquet → counts and entity resolution.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Location / artifact</w:t>
            </w:r>
          </w:p>
        </w:tc>
        <w:tc>
          <w:tcPr>
            <w:tcW w:type="dxa" w:w="4968"/>
            <w:vAlign w:val="center"/>
          </w:tcPr>
          <w:p>
            <w:r>
              <w:rPr>
                <w:sz w:val="16"/>
              </w:rPr>
              <w:t>Meaning</w:t>
            </w:r>
          </w:p>
        </w:tc>
      </w:tr>
      <w:tr>
        <w:tc>
          <w:tcPr>
            <w:tcW w:type="dxa" w:w="4968"/>
            <w:vAlign w:val="center"/>
          </w:tcPr>
          <w:p>
            <w:r>
              <w:rPr>
                <w:sz w:val="16"/>
              </w:rPr>
              <w:t>S3 PUT</w:t>
            </w:r>
          </w:p>
        </w:tc>
        <w:tc>
          <w:tcPr>
            <w:tcW w:type="dxa" w:w="4968"/>
            <w:vAlign w:val="center"/>
          </w:tcPr>
          <w:p>
            <w:r>
              <w:rPr>
                <w:sz w:val="16"/>
              </w:rPr>
              <w:t>Outbound GBS match request file</w:t>
            </w:r>
          </w:p>
        </w:tc>
      </w:tr>
      <w:tr>
        <w:tc>
          <w:tcPr>
            <w:tcW w:type="dxa" w:w="4968"/>
            <w:vAlign w:val="center"/>
          </w:tcPr>
          <w:p>
            <w:r>
              <w:rPr>
                <w:sz w:val="16"/>
              </w:rPr>
              <w:t>GBS queue</w:t>
            </w:r>
          </w:p>
        </w:tc>
        <w:tc>
          <w:tcPr>
            <w:tcW w:type="dxa" w:w="4968"/>
            <w:vAlign w:val="center"/>
          </w:tcPr>
          <w:p>
            <w:r>
              <w:rPr>
                <w:sz w:val="16"/>
              </w:rPr>
              <w:t>Requests from multiple sources queued for matching</w:t>
            </w:r>
          </w:p>
        </w:tc>
      </w:tr>
      <w:tr>
        <w:tc>
          <w:tcPr>
            <w:tcW w:type="dxa" w:w="4968"/>
            <w:vAlign w:val="center"/>
          </w:tcPr>
          <w:p>
            <w:r>
              <w:rPr>
                <w:sz w:val="16"/>
              </w:rPr>
              <w:t>S3 GET</w:t>
            </w:r>
          </w:p>
        </w:tc>
        <w:tc>
          <w:tcPr>
            <w:tcW w:type="dxa" w:w="4968"/>
            <w:vAlign w:val="center"/>
          </w:tcPr>
          <w:p>
            <w:r>
              <w:rPr>
                <w:sz w:val="16"/>
              </w:rPr>
              <w:t>Inbound match response file</w:t>
            </w:r>
          </w:p>
        </w:tc>
      </w:tr>
      <w:tr>
        <w:tc>
          <w:tcPr>
            <w:tcW w:type="dxa" w:w="4968"/>
            <w:vAlign w:val="center"/>
          </w:tcPr>
          <w:p>
            <w:r>
              <w:rPr>
                <w:sz w:val="16"/>
              </w:rPr>
              <w:t>405_match_input</w:t>
            </w:r>
          </w:p>
        </w:tc>
        <w:tc>
          <w:tcPr>
            <w:tcW w:type="dxa" w:w="4968"/>
            <w:vAlign w:val="center"/>
          </w:tcPr>
          <w:p>
            <w:r>
              <w:rPr>
                <w:sz w:val="16"/>
              </w:rPr>
              <w:t>Parquet data describing records/fields sent for matching</w:t>
            </w:r>
          </w:p>
        </w:tc>
      </w:tr>
      <w:tr>
        <w:tc>
          <w:tcPr>
            <w:tcW w:type="dxa" w:w="4968"/>
            <w:vAlign w:val="center"/>
          </w:tcPr>
          <w:p>
            <w:r>
              <w:rPr>
                <w:sz w:val="16"/>
              </w:rPr>
              <w:t>430_match_output</w:t>
            </w:r>
          </w:p>
        </w:tc>
        <w:tc>
          <w:tcPr>
            <w:tcW w:type="dxa" w:w="4968"/>
            <w:vAlign w:val="center"/>
          </w:tcPr>
          <w:p>
            <w:r>
              <w:rPr>
                <w:sz w:val="16"/>
              </w:rPr>
              <w:t>Parquet data describing returned response-level records</w:t>
            </w:r>
          </w:p>
        </w:tc>
      </w:tr>
    </w:tbl>
    <w:p>
      <w:r>
        <w:t>Both 405 and 430 outputs are source-specific. validate_match_counts compares request and response quantities. Whether a strict 1:1 comparison is always expected was not confirmed.</w:t>
      </w:r>
    </w:p>
    <w:p>
      <w:pPr>
        <w:pStyle w:val="Heading2"/>
      </w:pPr>
      <w:r>
        <w:t>6.3 Response timing</w:t>
      </w:r>
    </w:p>
    <w:p>
      <w:r>
        <w:t>The speaker said responses are generally received within 24 hours; wait_for_match_response may time out at around 24 hours. A response can arrive later at hour 26–28, or can remain missing for two days. Always check actual GET location and timestamps before recovery.</w:t>
      </w:r>
    </w:p>
    <w:p>
      <w:pPr>
        <w:pStyle w:val="Heading1"/>
      </w:pPr>
      <w:r>
        <w:t>7. Match acceptance, entity resolution and periodic rematch</w:t>
      </w:r>
    </w:p>
    <w:p>
      <w:pPr>
        <w:pStyle w:val="Heading2"/>
      </w:pPr>
      <w:r>
        <w:t>7.1 Match acceptance criteria</w:t>
      </w:r>
    </w:p>
    <w:p>
      <w:r>
        <w:t>Data-owner-provided match acceptance criteria file is uploaded/configured separately. Conditions include a confidence code (speaker clarified 0–10) and match grade pattern. A returned DUNS is only finalized when configured acceptance requirements are met.</w:t>
      </w:r>
    </w:p>
    <w:p>
      <w:r>
        <w:t>ER = Entity Resolution. There is a separate BigQuery ER table for each source. Accepted AND unaccepted match response records are retained in ER. The speaker described a DNV match acceptance indicator set to 1 for accepted records; accepted records can flow into downstream views. Exact value for unaccepted records and finalized-DUNS column spelling require verification.</w:t>
      </w:r>
    </w:p>
    <w:p>
      <w:pPr>
        <w:pStyle w:val="Heading2"/>
      </w:pPr>
      <w:r>
        <w:t>7.2 Periodic rematch &amp; manual iResearch</w:t>
      </w:r>
    </w:p>
    <w:p>
      <w:r>
        <w:rPr>
          <w:b/>
        </w:rPr>
        <w:t xml:space="preserve">English: </w:t>
      </w:r>
      <w:r>
        <w:t>Exclusion unmatched/unaccepted entities are sent to GBS again every 90 days. A configured count of three unsuccessful attempts can make an entity eligible for manual iResearch, which is costly. Eligibility uses configured query logic; not every unmatched entity is automatically submitted.</w:t>
      </w:r>
    </w:p>
    <w:p>
      <w:r>
        <w:rPr>
          <w:b/>
        </w:rPr>
        <w:t xml:space="preserve">Easy Hindi/Hinglish: </w:t>
      </w:r>
      <w:r>
        <w:t>Jo entity match nahi hoti, usko turant manual iResearch nahi bhejte. Exclusion mein 90 din par GBS retry; 3 attempts ke rule ke baad eligible record iResearch request table mein ja sakta hai.</w:t>
      </w:r>
    </w:p>
    <w:p>
      <w:r>
        <w:rPr>
          <w:b/>
        </w:rPr>
        <w:t xml:space="preserve">IMPORTANT: </w:t>
      </w:r>
      <w:r>
        <w:t>It was not specified whether the initial request counts as one of the three tries, nor the exact tracking column, nor whether insertion into iResearch Request table immediately triggers the external manual workflow.</w:t>
      </w:r>
    </w:p>
    <w:p>
      <w:pPr>
        <w:pStyle w:val="Heading1"/>
      </w:pPr>
      <w:r>
        <w:t>8. MetricsHub, BV, DV and downstream consumers</w:t>
      </w:r>
    </w:p>
    <w:p>
      <w:pPr>
        <w:pStyle w:val="Heading2"/>
      </w:pPr>
      <w:r>
        <w:t>8.1 publish_data_audits</w:t>
      </w:r>
    </w:p>
    <w:p>
      <w:r>
        <w:t>Processing and data-quality audit/error events are published to MetricsHub, linked to batch IDs. Relevant data owners review errors and can coordinate source-data corrections with source teams.</w:t>
      </w:r>
    </w:p>
    <w:p>
      <w:pPr>
        <w:pStyle w:val="Heading2"/>
      </w:pPr>
      <w:r>
        <w:t>8.2 publish_domain_views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Output</w:t>
            </w:r>
          </w:p>
        </w:tc>
        <w:tc>
          <w:tcPr>
            <w:tcW w:type="dxa" w:w="3312"/>
            <w:vAlign w:val="center"/>
          </w:tcPr>
          <w:p>
            <w:r>
              <w:rPr>
                <w:sz w:val="16"/>
              </w:rPr>
              <w:t>KT description</w:t>
            </w:r>
          </w:p>
        </w:tc>
        <w:tc>
          <w:tcPr>
            <w:tcW w:type="dxa" w:w="3312"/>
            <w:vAlign w:val="center"/>
          </w:tcPr>
          <w:p>
            <w:r>
              <w:rPr>
                <w:sz w:val="16"/>
              </w:rPr>
              <w:t>What to remember</w:t>
            </w:r>
          </w:p>
        </w:tc>
      </w:tr>
      <w:tr>
        <w:tc>
          <w:tcPr>
            <w:tcW w:type="dxa" w:w="3312"/>
            <w:vAlign w:val="center"/>
          </w:tcPr>
          <w:p>
            <w:r>
              <w:rPr>
                <w:sz w:val="16"/>
              </w:rPr>
              <w:t>Base View (BV)</w:t>
            </w:r>
          </w:p>
        </w:tc>
        <w:tc>
          <w:tcPr>
            <w:tcW w:type="dxa" w:w="3312"/>
            <w:vAlign w:val="center"/>
          </w:tcPr>
          <w:p>
            <w:r>
              <w:rPr>
                <w:sz w:val="16"/>
              </w:rPr>
              <w:t>Source-specific latest batch processed data</w:t>
            </w:r>
          </w:p>
        </w:tc>
        <w:tc>
          <w:tcPr>
            <w:tcW w:type="dxa" w:w="3312"/>
            <w:vAlign w:val="center"/>
          </w:tcPr>
          <w:p>
            <w:r>
              <w:rPr>
                <w:sz w:val="16"/>
              </w:rPr>
              <w:t>Current-batch output</w:t>
            </w:r>
          </w:p>
        </w:tc>
      </w:tr>
      <w:tr>
        <w:tc>
          <w:tcPr>
            <w:tcW w:type="dxa" w:w="3312"/>
            <w:vAlign w:val="center"/>
          </w:tcPr>
          <w:p>
            <w:r>
              <w:rPr>
                <w:sz w:val="16"/>
              </w:rPr>
              <w:t>Domain View (DV)</w:t>
            </w:r>
          </w:p>
        </w:tc>
        <w:tc>
          <w:tcPr>
            <w:tcW w:type="dxa" w:w="3312"/>
            <w:vAlign w:val="center"/>
          </w:tcPr>
          <w:p>
            <w:r>
              <w:rPr>
                <w:sz w:val="16"/>
              </w:rPr>
              <w:t>Complete consolidated dataset snapshot for a domain</w:t>
            </w:r>
          </w:p>
        </w:tc>
        <w:tc>
          <w:tcPr>
            <w:tcW w:type="dxa" w:w="3312"/>
            <w:vAlign w:val="center"/>
          </w:tcPr>
          <w:p>
            <w:r>
              <w:rPr>
                <w:sz w:val="16"/>
              </w:rPr>
              <w:t>Downstream/latest full snapshot</w:t>
            </w:r>
          </w:p>
        </w:tc>
      </w:tr>
    </w:tbl>
    <w:p>
      <w:r>
        <w:t>A DV can be shared across multiple sources within one domain. Example: violation sources may write a shared DV_Violation. If two source DAGs update it simultaneously, a concurrent-update failure can occur; speaker said rerunning the failed step once the competing update completes generally resolves the issue.</w:t>
      </w:r>
    </w:p>
    <w:p>
      <w:r>
        <w:rPr>
          <w:b/>
        </w:rPr>
        <w:t xml:space="preserve">IMPORTANT: </w:t>
      </w:r>
      <w:r>
        <w:t>If publish_domain_views fails, the latest complete DV snapshot may not be published even when upstream steps/BV succeeded. Verify downstream freshness after any rerun.</w:t>
      </w:r>
    </w:p>
    <w:p>
      <w:pPr>
        <w:pStyle w:val="Heading1"/>
      </w:pPr>
      <w:r>
        <w:t>9. Daily monitoring playbook (practical)</w:t>
      </w:r>
    </w:p>
    <w:p>
      <w:pPr>
        <w:pStyle w:val="Heading2"/>
      </w:pPr>
      <w:r>
        <w:t>9.1 Start in One-Click Operations</w:t>
      </w:r>
    </w:p>
    <w:p>
      <w:pPr>
        <w:pStyle w:val="ListNumber"/>
      </w:pPr>
      <w:r>
        <w:t>Open MDD UI → One-Click Operations → Data Source Monitor.</w:t>
      </w:r>
    </w:p>
    <w:p>
      <w:pPr>
        <w:pStyle w:val="ListNumber"/>
      </w:pPr>
      <w:r>
        <w:t>Select source, recent run, process and batch ID; note status and timestamps.</w:t>
      </w:r>
    </w:p>
    <w:p>
      <w:pPr>
        <w:pStyle w:val="ListNumber"/>
      </w:pPr>
      <w:r>
        <w:t>Record input, output, discarded, deleted, qualified and DQ-failed metrics.</w:t>
      </w:r>
    </w:p>
    <w:p>
      <w:pPr>
        <w:pStyle w:val="ListNumber"/>
      </w:pPr>
      <w:r>
        <w:t>Expand job to see sub-processes (raw/discovery/refining or Program Engine).</w:t>
      </w:r>
    </w:p>
    <w:p>
      <w:pPr>
        <w:pStyle w:val="ListNumber"/>
      </w:pPr>
      <w:r>
        <w:t>If failed, identify exact Airflow task, error and associated batch.</w:t>
      </w:r>
    </w:p>
    <w:p>
      <w:pPr>
        <w:pStyle w:val="ListNumber"/>
      </w:pPr>
      <w:r>
        <w:t>Check Airflow task logs; use Dataproc/Spark logs for engine-level failures.</w:t>
      </w:r>
    </w:p>
    <w:p>
      <w:pPr>
        <w:pStyle w:val="ListNumber"/>
      </w:pPr>
      <w:r>
        <w:t>Check relevant Parquet/BigQuery counts and source configs. Escalate external GBS/MetricsHub problems to owners.</w:t>
      </w:r>
    </w:p>
    <w:p>
      <w:pPr>
        <w:pStyle w:val="ListNumber"/>
      </w:pPr>
      <w:r>
        <w:t>After approved remediation/rerun, confirm status, counts, ER and DV freshness.</w:t>
      </w:r>
    </w:p>
    <w:p>
      <w:pPr>
        <w:pStyle w:val="Heading2"/>
      </w:pPr>
      <w:r>
        <w:t>9.2 Monitoring mini-template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Field</w:t>
            </w:r>
          </w:p>
        </w:tc>
        <w:tc>
          <w:tcPr>
            <w:tcW w:type="dxa" w:w="4968"/>
            <w:vAlign w:val="center"/>
          </w:tcPr>
          <w:p>
            <w:r>
              <w:rPr>
                <w:sz w:val="16"/>
              </w:rPr>
              <w:t>Fill for every issue</w:t>
            </w:r>
          </w:p>
        </w:tc>
      </w:tr>
      <w:tr>
        <w:tc>
          <w:tcPr>
            <w:tcW w:type="dxa" w:w="4968"/>
            <w:vAlign w:val="center"/>
          </w:tcPr>
          <w:p>
            <w:r>
              <w:rPr>
                <w:sz w:val="16"/>
              </w:rPr>
              <w:t>Source / environment</w:t>
            </w:r>
          </w:p>
        </w:tc>
        <w:tc>
          <w:tcPr>
            <w:tcW w:type="dxa" w:w="4968"/>
            <w:vAlign w:val="center"/>
          </w:tcPr>
          <w:p>
            <w:r>
              <w:rPr>
                <w:sz w:val="16"/>
              </w:rPr>
              <w:t>____________________________</w:t>
            </w:r>
          </w:p>
        </w:tc>
      </w:tr>
      <w:tr>
        <w:tc>
          <w:tcPr>
            <w:tcW w:type="dxa" w:w="4968"/>
            <w:vAlign w:val="center"/>
          </w:tcPr>
          <w:p>
            <w:r>
              <w:rPr>
                <w:sz w:val="16"/>
              </w:rPr>
              <w:t>DAG and batch ID</w:t>
            </w:r>
          </w:p>
        </w:tc>
        <w:tc>
          <w:tcPr>
            <w:tcW w:type="dxa" w:w="4968"/>
            <w:vAlign w:val="center"/>
          </w:tcPr>
          <w:p>
            <w:r>
              <w:rPr>
                <w:sz w:val="16"/>
              </w:rPr>
              <w:t>____________________________</w:t>
            </w:r>
          </w:p>
        </w:tc>
      </w:tr>
      <w:tr>
        <w:tc>
          <w:tcPr>
            <w:tcW w:type="dxa" w:w="4968"/>
            <w:vAlign w:val="center"/>
          </w:tcPr>
          <w:p>
            <w:r>
              <w:rPr>
                <w:sz w:val="16"/>
              </w:rPr>
              <w:t>Failed step and time</w:t>
            </w:r>
          </w:p>
        </w:tc>
        <w:tc>
          <w:tcPr>
            <w:tcW w:type="dxa" w:w="4968"/>
            <w:vAlign w:val="center"/>
          </w:tcPr>
          <w:p>
            <w:r>
              <w:rPr>
                <w:sz w:val="16"/>
              </w:rPr>
              <w:t>____________________________</w:t>
            </w:r>
          </w:p>
        </w:tc>
      </w:tr>
      <w:tr>
        <w:tc>
          <w:tcPr>
            <w:tcW w:type="dxa" w:w="4968"/>
            <w:vAlign w:val="center"/>
          </w:tcPr>
          <w:p>
            <w:r>
              <w:rPr>
                <w:sz w:val="16"/>
              </w:rPr>
              <w:t>Raw and success counts</w:t>
            </w:r>
          </w:p>
        </w:tc>
        <w:tc>
          <w:tcPr>
            <w:tcW w:type="dxa" w:w="4968"/>
            <w:vAlign w:val="center"/>
          </w:tcPr>
          <w:p>
            <w:r>
              <w:rPr>
                <w:sz w:val="16"/>
              </w:rPr>
              <w:t>____________________________</w:t>
            </w:r>
          </w:p>
        </w:tc>
      </w:tr>
      <w:tr>
        <w:tc>
          <w:tcPr>
            <w:tcW w:type="dxa" w:w="4968"/>
            <w:vAlign w:val="center"/>
          </w:tcPr>
          <w:p>
            <w:r>
              <w:rPr>
                <w:sz w:val="16"/>
              </w:rPr>
              <w:t>130 bad / 150 dedup</w:t>
            </w:r>
          </w:p>
        </w:tc>
        <w:tc>
          <w:tcPr>
            <w:tcW w:type="dxa" w:w="4968"/>
            <w:vAlign w:val="center"/>
          </w:tcPr>
          <w:p>
            <w:r>
              <w:rPr>
                <w:sz w:val="16"/>
              </w:rPr>
              <w:t>____________________________</w:t>
            </w:r>
          </w:p>
        </w:tc>
      </w:tr>
      <w:tr>
        <w:tc>
          <w:tcPr>
            <w:tcW w:type="dxa" w:w="4968"/>
            <w:vAlign w:val="center"/>
          </w:tcPr>
          <w:p>
            <w:r>
              <w:rPr>
                <w:sz w:val="16"/>
              </w:rPr>
              <w:t>405 input / 430 output (if matching)</w:t>
            </w:r>
          </w:p>
        </w:tc>
        <w:tc>
          <w:tcPr>
            <w:tcW w:type="dxa" w:w="4968"/>
            <w:vAlign w:val="center"/>
          </w:tcPr>
          <w:p>
            <w:r>
              <w:rPr>
                <w:sz w:val="16"/>
              </w:rPr>
              <w:t>____________________________</w:t>
            </w:r>
          </w:p>
        </w:tc>
      </w:tr>
      <w:tr>
        <w:tc>
          <w:tcPr>
            <w:tcW w:type="dxa" w:w="4968"/>
            <w:vAlign w:val="center"/>
          </w:tcPr>
          <w:p>
            <w:r>
              <w:rPr>
                <w:sz w:val="16"/>
              </w:rPr>
              <w:t>Root cause evidence</w:t>
            </w:r>
          </w:p>
        </w:tc>
        <w:tc>
          <w:tcPr>
            <w:tcW w:type="dxa" w:w="4968"/>
            <w:vAlign w:val="center"/>
          </w:tcPr>
          <w:p>
            <w:r>
              <w:rPr>
                <w:sz w:val="16"/>
              </w:rPr>
              <w:t>____________________________</w:t>
            </w:r>
          </w:p>
        </w:tc>
      </w:tr>
      <w:tr>
        <w:tc>
          <w:tcPr>
            <w:tcW w:type="dxa" w:w="4968"/>
            <w:vAlign w:val="center"/>
          </w:tcPr>
          <w:p>
            <w:r>
              <w:rPr>
                <w:sz w:val="16"/>
              </w:rPr>
              <w:t>Fix / rerun / validation</w:t>
            </w:r>
          </w:p>
        </w:tc>
        <w:tc>
          <w:tcPr>
            <w:tcW w:type="dxa" w:w="4968"/>
            <w:vAlign w:val="center"/>
          </w:tcPr>
          <w:p>
            <w:r>
              <w:rPr>
                <w:sz w:val="16"/>
              </w:rPr>
              <w:t>____________________________</w:t>
            </w:r>
          </w:p>
        </w:tc>
      </w:tr>
    </w:tbl>
    <w:p>
      <w:pPr>
        <w:pStyle w:val="Heading1"/>
      </w:pPr>
      <w:r>
        <w:t>10. Failure scenarios and safe recovery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Failed task / symptom</w:t>
            </w:r>
          </w:p>
        </w:tc>
        <w:tc>
          <w:tcPr>
            <w:tcW w:type="dxa" w:w="3312"/>
            <w:vAlign w:val="center"/>
          </w:tcPr>
          <w:p>
            <w:r>
              <w:rPr>
                <w:sz w:val="16"/>
              </w:rPr>
              <w:t>Typical KT cause</w:t>
            </w:r>
          </w:p>
        </w:tc>
        <w:tc>
          <w:tcPr>
            <w:tcW w:type="dxa" w:w="3312"/>
            <w:vAlign w:val="center"/>
          </w:tcPr>
          <w:p>
            <w:r>
              <w:rPr>
                <w:sz w:val="16"/>
              </w:rPr>
              <w:t>First action / recovery guidance</w:t>
            </w:r>
          </w:p>
        </w:tc>
      </w:tr>
      <w:tr>
        <w:tc>
          <w:tcPr>
            <w:tcW w:type="dxa" w:w="3312"/>
            <w:vAlign w:val="center"/>
          </w:tcPr>
          <w:p>
            <w:r>
              <w:rPr>
                <w:sz w:val="16"/>
              </w:rPr>
              <w:t>init_dag_run</w:t>
            </w:r>
          </w:p>
        </w:tc>
        <w:tc>
          <w:tcPr>
            <w:tcW w:type="dxa" w:w="3312"/>
            <w:vAlign w:val="center"/>
          </w:tcPr>
          <w:p>
            <w:r>
              <w:rPr>
                <w:sz w:val="16"/>
              </w:rPr>
              <w:t>Source configuration missing/deleted</w:t>
            </w:r>
          </w:p>
        </w:tc>
        <w:tc>
          <w:tcPr>
            <w:tcW w:type="dxa" w:w="3312"/>
            <w:vAlign w:val="center"/>
          </w:tcPr>
          <w:p>
            <w:r>
              <w:rPr>
                <w:sz w:val="16"/>
              </w:rPr>
              <w:t>Verify config availability and logs</w:t>
            </w:r>
          </w:p>
        </w:tc>
      </w:tr>
      <w:tr>
        <w:tc>
          <w:tcPr>
            <w:tcW w:type="dxa" w:w="3312"/>
            <w:vAlign w:val="center"/>
          </w:tcPr>
          <w:p>
            <w:r>
              <w:rPr>
                <w:sz w:val="16"/>
              </w:rPr>
              <w:t>files_to_process</w:t>
            </w:r>
          </w:p>
        </w:tc>
        <w:tc>
          <w:tcPr>
            <w:tcW w:type="dxa" w:w="3312"/>
            <w:vAlign w:val="center"/>
          </w:tcPr>
          <w:p>
            <w:r>
              <w:rPr>
                <w:sz w:val="16"/>
              </w:rPr>
              <w:t>Government publisher changes filename / regex mismatch</w:t>
            </w:r>
          </w:p>
        </w:tc>
        <w:tc>
          <w:tcPr>
            <w:tcW w:type="dxa" w:w="3312"/>
            <w:vAlign w:val="center"/>
          </w:tcPr>
          <w:p>
            <w:r>
              <w:rPr>
                <w:sz w:val="16"/>
              </w:rPr>
              <w:t>Compare actual GCS object name with MDD regex; approve/update rule</w:t>
            </w:r>
          </w:p>
        </w:tc>
      </w:tr>
      <w:tr>
        <w:tc>
          <w:tcPr>
            <w:tcW w:type="dxa" w:w="3312"/>
            <w:vAlign w:val="center"/>
          </w:tcPr>
          <w:p>
            <w:r>
              <w:rPr>
                <w:sz w:val="16"/>
              </w:rPr>
              <w:t>create_batch_config</w:t>
            </w:r>
          </w:p>
        </w:tc>
        <w:tc>
          <w:tcPr>
            <w:tcW w:type="dxa" w:w="3312"/>
            <w:vAlign w:val="center"/>
          </w:tcPr>
          <w:p>
            <w:r>
              <w:rPr>
                <w:sz w:val="16"/>
              </w:rPr>
              <w:t>UI changed, workflow not refreshed</w:t>
            </w:r>
          </w:p>
        </w:tc>
        <w:tc>
          <w:tcPr>
            <w:tcW w:type="dxa" w:w="3312"/>
            <w:vAlign w:val="center"/>
          </w:tcPr>
          <w:p>
            <w:r>
              <w:rPr>
                <w:sz w:val="16"/>
              </w:rPr>
              <w:t>Manage Workflow refresh; regenerate batch config</w:t>
            </w:r>
          </w:p>
        </w:tc>
      </w:tr>
      <w:tr>
        <w:tc>
          <w:tcPr>
            <w:tcW w:type="dxa" w:w="3312"/>
            <w:vAlign w:val="center"/>
          </w:tcPr>
          <w:p>
            <w:r>
              <w:rPr>
                <w:sz w:val="16"/>
              </w:rPr>
              <w:t>execute_engine</w:t>
            </w:r>
          </w:p>
        </w:tc>
        <w:tc>
          <w:tcPr>
            <w:tcW w:type="dxa" w:w="3312"/>
            <w:vAlign w:val="center"/>
          </w:tcPr>
          <w:p>
            <w:r>
              <w:rPr>
                <w:sz w:val="16"/>
              </w:rPr>
              <w:t>Schema/type/parsing/processing/Dataproc failure</w:t>
            </w:r>
          </w:p>
        </w:tc>
        <w:tc>
          <w:tcPr>
            <w:tcW w:type="dxa" w:w="3312"/>
            <w:vAlign w:val="center"/>
          </w:tcPr>
          <w:p>
            <w:r>
              <w:rPr>
                <w:sz w:val="16"/>
              </w:rPr>
              <w:t>Inspect Spark logs and intermediate output; diagnose cause</w:t>
            </w:r>
          </w:p>
        </w:tc>
      </w:tr>
      <w:tr>
        <w:tc>
          <w:tcPr>
            <w:tcW w:type="dxa" w:w="3312"/>
            <w:vAlign w:val="center"/>
          </w:tcPr>
          <w:p>
            <w:r>
              <w:rPr>
                <w:sz w:val="16"/>
              </w:rPr>
              <w:t>validate_row_counts</w:t>
            </w:r>
          </w:p>
        </w:tc>
        <w:tc>
          <w:tcPr>
            <w:tcW w:type="dxa" w:w="3312"/>
            <w:vAlign w:val="center"/>
          </w:tcPr>
          <w:p>
            <w:r>
              <w:rPr>
                <w:sz w:val="16"/>
              </w:rPr>
              <w:t>Unexpected rejects/dedups, partially loaded data</w:t>
            </w:r>
          </w:p>
        </w:tc>
        <w:tc>
          <w:tcPr>
            <w:tcW w:type="dxa" w:w="3312"/>
            <w:vAlign w:val="center"/>
          </w:tcPr>
          <w:p>
            <w:r>
              <w:rPr>
                <w:sz w:val="16"/>
              </w:rPr>
              <w:t>Compare current/previous batch and output categories</w:t>
            </w:r>
          </w:p>
        </w:tc>
      </w:tr>
      <w:tr>
        <w:tc>
          <w:tcPr>
            <w:tcW w:type="dxa" w:w="3312"/>
            <w:vAlign w:val="center"/>
          </w:tcPr>
          <w:p>
            <w:r>
              <w:rPr>
                <w:sz w:val="16"/>
              </w:rPr>
              <w:t>run_match_input</w:t>
            </w:r>
          </w:p>
        </w:tc>
        <w:tc>
          <w:tcPr>
            <w:tcW w:type="dxa" w:w="3312"/>
            <w:vAlign w:val="center"/>
          </w:tcPr>
          <w:p>
            <w:r>
              <w:rPr>
                <w:sz w:val="16"/>
              </w:rPr>
              <w:t>Bad query; acceptance file still refers to staging bucket</w:t>
            </w:r>
          </w:p>
        </w:tc>
        <w:tc>
          <w:tcPr>
            <w:tcW w:type="dxa" w:w="3312"/>
            <w:vAlign w:val="center"/>
          </w:tcPr>
          <w:p>
            <w:r>
              <w:rPr>
                <w:sz w:val="16"/>
              </w:rPr>
              <w:t>Fix query or reupload config file in destination environment; refresh</w:t>
            </w:r>
          </w:p>
        </w:tc>
      </w:tr>
      <w:tr>
        <w:tc>
          <w:tcPr>
            <w:tcW w:type="dxa" w:w="3312"/>
            <w:vAlign w:val="center"/>
          </w:tcPr>
          <w:p>
            <w:r>
              <w:rPr>
                <w:sz w:val="16"/>
              </w:rPr>
              <w:t>send_match_files_to_gbs</w:t>
            </w:r>
          </w:p>
        </w:tc>
        <w:tc>
          <w:tcPr>
            <w:tcW w:type="dxa" w:w="3312"/>
            <w:vAlign w:val="center"/>
          </w:tcPr>
          <w:p>
            <w:r>
              <w:rPr>
                <w:sz w:val="16"/>
              </w:rPr>
              <w:t>GBS connectivity or permissions</w:t>
            </w:r>
          </w:p>
        </w:tc>
        <w:tc>
          <w:tcPr>
            <w:tcW w:type="dxa" w:w="3312"/>
            <w:vAlign w:val="center"/>
          </w:tcPr>
          <w:p>
            <w:r>
              <w:rPr>
                <w:sz w:val="16"/>
              </w:rPr>
              <w:t>Inspect request delivery; contact responsible GBS team</w:t>
            </w:r>
          </w:p>
        </w:tc>
      </w:tr>
      <w:tr>
        <w:tc>
          <w:tcPr>
            <w:tcW w:type="dxa" w:w="3312"/>
            <w:vAlign w:val="center"/>
          </w:tcPr>
          <w:p>
            <w:r>
              <w:rPr>
                <w:sz w:val="16"/>
              </w:rPr>
              <w:t>wait_for_match_response</w:t>
            </w:r>
          </w:p>
        </w:tc>
        <w:tc>
          <w:tcPr>
            <w:tcW w:type="dxa" w:w="3312"/>
            <w:vAlign w:val="center"/>
          </w:tcPr>
          <w:p>
            <w:r>
              <w:rPr>
                <w:sz w:val="16"/>
              </w:rPr>
              <w:t>GBS queue delays, stuck external job, 24h timeout</w:t>
            </w:r>
          </w:p>
        </w:tc>
        <w:tc>
          <w:tcPr>
            <w:tcW w:type="dxa" w:w="3312"/>
            <w:vAlign w:val="center"/>
          </w:tcPr>
          <w:p>
            <w:r>
              <w:rPr>
                <w:sz w:val="16"/>
              </w:rPr>
              <w:t>Check GET. Late arrival: approved restore/rerun. Missing: escalate with input file</w:t>
            </w:r>
          </w:p>
        </w:tc>
      </w:tr>
      <w:tr>
        <w:tc>
          <w:tcPr>
            <w:tcW w:type="dxa" w:w="3312"/>
            <w:vAlign w:val="center"/>
          </w:tcPr>
          <w:p>
            <w:r>
              <w:rPr>
                <w:sz w:val="16"/>
              </w:rPr>
              <w:t>validate_match_counts</w:t>
            </w:r>
          </w:p>
        </w:tc>
        <w:tc>
          <w:tcPr>
            <w:tcW w:type="dxa" w:w="3312"/>
            <w:vAlign w:val="center"/>
          </w:tcPr>
          <w:p>
            <w:r>
              <w:rPr>
                <w:sz w:val="16"/>
              </w:rPr>
              <w:t>Input/response discrepancy; acceptance or query issues</w:t>
            </w:r>
          </w:p>
        </w:tc>
        <w:tc>
          <w:tcPr>
            <w:tcW w:type="dxa" w:w="3312"/>
            <w:vAlign w:val="center"/>
          </w:tcPr>
          <w:p>
            <w:r>
              <w:rPr>
                <w:sz w:val="16"/>
              </w:rPr>
              <w:t>Inspect 405, 430, ER; verify configured checks</w:t>
            </w:r>
          </w:p>
        </w:tc>
      </w:tr>
      <w:tr>
        <w:tc>
          <w:tcPr>
            <w:tcW w:type="dxa" w:w="3312"/>
            <w:vAlign w:val="center"/>
          </w:tcPr>
          <w:p>
            <w:r>
              <w:rPr>
                <w:sz w:val="16"/>
              </w:rPr>
              <w:t>publish_domain_views</w:t>
            </w:r>
          </w:p>
        </w:tc>
        <w:tc>
          <w:tcPr>
            <w:tcW w:type="dxa" w:w="3312"/>
            <w:vAlign w:val="center"/>
          </w:tcPr>
          <w:p>
            <w:r>
              <w:rPr>
                <w:sz w:val="16"/>
              </w:rPr>
              <w:t>Two DAGs update same domain table concurrently</w:t>
            </w:r>
          </w:p>
        </w:tc>
        <w:tc>
          <w:tcPr>
            <w:tcW w:type="dxa" w:w="3312"/>
            <w:vAlign w:val="center"/>
          </w:tcPr>
          <w:p>
            <w:r>
              <w:rPr>
                <w:sz w:val="16"/>
              </w:rPr>
              <w:t>Wait for conflict to clear; rerun failed step per approved procedure</w:t>
            </w:r>
          </w:p>
        </w:tc>
      </w:tr>
    </w:tbl>
    <w:p>
      <w:pPr>
        <w:pStyle w:val="Heading2"/>
      </w:pPr>
      <w:r>
        <w:t>10.1 Restart from failed vs previous step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6"/>
              </w:rPr>
              <w:t>Option</w:t>
            </w:r>
          </w:p>
        </w:tc>
        <w:tc>
          <w:tcPr>
            <w:tcW w:type="dxa" w:w="3312"/>
            <w:vAlign w:val="center"/>
          </w:tcPr>
          <w:p>
            <w:r>
              <w:rPr>
                <w:sz w:val="16"/>
              </w:rPr>
              <w:t>When appropriate</w:t>
            </w:r>
          </w:p>
        </w:tc>
        <w:tc>
          <w:tcPr>
            <w:tcW w:type="dxa" w:w="3312"/>
            <w:vAlign w:val="center"/>
          </w:tcPr>
          <w:p>
            <w:r>
              <w:rPr>
                <w:sz w:val="16"/>
              </w:rPr>
              <w:t>Example</w:t>
            </w:r>
          </w:p>
        </w:tc>
      </w:tr>
      <w:tr>
        <w:tc>
          <w:tcPr>
            <w:tcW w:type="dxa" w:w="3312"/>
            <w:vAlign w:val="center"/>
          </w:tcPr>
          <w:p>
            <w:r>
              <w:rPr>
                <w:sz w:val="16"/>
              </w:rPr>
              <w:t>Restart from Failed Step</w:t>
            </w:r>
          </w:p>
        </w:tc>
        <w:tc>
          <w:tcPr>
            <w:tcW w:type="dxa" w:w="3312"/>
            <w:vAlign w:val="center"/>
          </w:tcPr>
          <w:p>
            <w:r>
              <w:rPr>
                <w:sz w:val="16"/>
              </w:rPr>
              <w:t>Temporary/transient failure; no preceding config regeneration required</w:t>
            </w:r>
          </w:p>
        </w:tc>
        <w:tc>
          <w:tcPr>
            <w:tcW w:type="dxa" w:w="3312"/>
            <w:vAlign w:val="center"/>
          </w:tcPr>
          <w:p>
            <w:r>
              <w:rPr>
                <w:sz w:val="16"/>
              </w:rPr>
              <w:t>Dataproc transient issue or resolved concurrent DV update</w:t>
            </w:r>
          </w:p>
        </w:tc>
      </w:tr>
      <w:tr>
        <w:tc>
          <w:tcPr>
            <w:tcW w:type="dxa" w:w="3312"/>
            <w:vAlign w:val="center"/>
          </w:tcPr>
          <w:p>
            <w:r>
              <w:rPr>
                <w:sz w:val="16"/>
              </w:rPr>
              <w:t>Restart from Previous Step</w:t>
            </w:r>
          </w:p>
        </w:tc>
        <w:tc>
          <w:tcPr>
            <w:tcW w:type="dxa" w:w="3312"/>
            <w:vAlign w:val="center"/>
          </w:tcPr>
          <w:p>
            <w:r>
              <w:rPr>
                <w:sz w:val="16"/>
              </w:rPr>
              <w:t>Need earlier batch configuration rebuilt with changed MDD UI data</w:t>
            </w:r>
          </w:p>
        </w:tc>
        <w:tc>
          <w:tcPr>
            <w:tcW w:type="dxa" w:w="3312"/>
            <w:vAlign w:val="center"/>
          </w:tcPr>
          <w:p>
            <w:r>
              <w:rPr>
                <w:sz w:val="16"/>
              </w:rPr>
              <w:t>Correct data type in UI → workflow refresh → restart create_batch_config / suitable earlier step</w:t>
            </w:r>
          </w:p>
        </w:tc>
      </w:tr>
    </w:tbl>
    <w:p>
      <w:r>
        <w:rPr>
          <w:b/>
        </w:rPr>
        <w:t xml:space="preserve">IMPORTANT: </w:t>
      </w:r>
      <w:r>
        <w:t>Avoid blindly rerunning execute_engine after a partial load. The KT did not confirm whether the engine automatically cleans up or deduplicates partially loaded data. Check runbook/owner instructions first.</w:t>
      </w:r>
    </w:p>
    <w:p>
      <w:pPr>
        <w:pStyle w:val="Heading2"/>
      </w:pPr>
      <w:r>
        <w:t>10.2 GBS escalation checklist</w:t>
      </w:r>
    </w:p>
    <w:p>
      <w:pPr>
        <w:pStyle w:val="ListNumber"/>
      </w:pPr>
      <w:r>
        <w:t>Confirm send_match_files_to_gbs succeeded and record batch ID, S3 PUT key and file name.</w:t>
      </w:r>
    </w:p>
    <w:p>
      <w:pPr>
        <w:pStyle w:val="ListNumber"/>
      </w:pPr>
      <w:r>
        <w:t>Check S3 GET for the corresponding response; compare timestamps and identifiers.</w:t>
      </w:r>
    </w:p>
    <w:p>
      <w:pPr>
        <w:pStyle w:val="ListNumber"/>
      </w:pPr>
      <w:r>
        <w:t>If response arrives after timeout, follow the documented restore/restart process (exact restore destination not shown in KT).</w:t>
      </w:r>
    </w:p>
    <w:p>
      <w:pPr>
        <w:pStyle w:val="ListNumber"/>
      </w:pPr>
      <w:r>
        <w:t>If still missing after 24–48 hours, contact GBS Match Team with input file and run details; ask them to investigate processing/queue.</w:t>
      </w:r>
    </w:p>
    <w:p>
      <w:pPr>
        <w:pStyle w:val="Heading1"/>
      </w:pPr>
      <w:r>
        <w:t>11. Full worked example — EXCLUSION (illustrative)</w:t>
      </w:r>
    </w:p>
    <w:p>
      <w:r>
        <w:t>Scenario: A new Exclusion source ZIP is received. This example is a teaching scenario, not an actual production run.</w:t>
      </w:r>
    </w:p>
    <w:p>
      <w:pPr>
        <w:pStyle w:val="ListNumber"/>
      </w:pPr>
      <w:r>
        <w:t>Lambda fetches Exclusion ZIP from source API into S3 Exclusions/.</w:t>
      </w:r>
    </w:p>
    <w:p>
      <w:pPr>
        <w:pStyle w:val="ListNumber"/>
      </w:pPr>
      <w:r>
        <w:t>STS copies it into the configured DAS/GCS location.</w:t>
      </w:r>
    </w:p>
    <w:p>
      <w:pPr>
        <w:pStyle w:val="ListNumber"/>
      </w:pPr>
      <w:r>
        <w:t>files_to_process checks filename regex, then create_batch_config prepares batch JSON.</w:t>
      </w:r>
    </w:p>
    <w:p>
      <w:pPr>
        <w:pStyle w:val="ListNumber"/>
      </w:pPr>
      <w:r>
        <w:t>execute_engine unzips, parses, validates, transforms, and writes raw/intermediate/canonical outputs.</w:t>
      </w:r>
    </w:p>
    <w:p>
      <w:pPr>
        <w:pStyle w:val="ListNumber"/>
      </w:pPr>
      <w:r>
        <w:t>validate_row_counts reviews 100, 110, 130, 140, 150, 200, 600 and other applicable outputs.</w:t>
      </w:r>
    </w:p>
    <w:p>
      <w:pPr>
        <w:pStyle w:val="ListNumber"/>
      </w:pPr>
      <w:r>
        <w:t>If Match is enabled: run_match_input selects entities; 405 logs the input; S3 PUT goes to GBS; S3 GET response creates 430 output.</w:t>
      </w:r>
    </w:p>
    <w:p>
      <w:pPr>
        <w:pStyle w:val="ListNumber"/>
      </w:pPr>
      <w:r>
        <w:t>Match acceptance criteria determine the accepted DUNS, while ER stores accepted/unaccepted results; unaccepted may be rematched later.</w:t>
      </w:r>
    </w:p>
    <w:p>
      <w:pPr>
        <w:pStyle w:val="ListNumber"/>
      </w:pPr>
      <w:r>
        <w:t>MetricsHub receives audit events; BV represents the batch output, DV publishes the consolidated domain snapshot; consumers use the resulting domain data.</w:t>
      </w:r>
    </w:p>
    <w:p>
      <w:pPr>
        <w:pStyle w:val="Heading1"/>
      </w:pPr>
      <w:r>
        <w:t>12. Access checklist and useful KT questions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Access / area</w:t>
            </w:r>
          </w:p>
        </w:tc>
        <w:tc>
          <w:tcPr>
            <w:tcW w:type="dxa" w:w="4968"/>
            <w:vAlign w:val="center"/>
          </w:tcPr>
          <w:p>
            <w:r>
              <w:rPr>
                <w:sz w:val="16"/>
              </w:rPr>
              <w:t>Why needed</w:t>
            </w:r>
          </w:p>
        </w:tc>
      </w:tr>
      <w:tr>
        <w:tc>
          <w:tcPr>
            <w:tcW w:type="dxa" w:w="4968"/>
            <w:vAlign w:val="center"/>
          </w:tcPr>
          <w:p>
            <w:r>
              <w:rPr>
                <w:sz w:val="16"/>
              </w:rPr>
              <w:t>MDD UI (read; change only if authorized)</w:t>
            </w:r>
          </w:p>
        </w:tc>
        <w:tc>
          <w:tcPr>
            <w:tcW w:type="dxa" w:w="4968"/>
            <w:vAlign w:val="center"/>
          </w:tcPr>
          <w:p>
            <w:r>
              <w:rPr>
                <w:sz w:val="16"/>
              </w:rPr>
              <w:t>Source configs, Manage Workflow, One-Click Operations</w:t>
            </w:r>
          </w:p>
        </w:tc>
      </w:tr>
      <w:tr>
        <w:tc>
          <w:tcPr>
            <w:tcW w:type="dxa" w:w="4968"/>
            <w:vAlign w:val="center"/>
          </w:tcPr>
          <w:p>
            <w:r>
              <w:rPr>
                <w:sz w:val="16"/>
              </w:rPr>
              <w:t>Airflow / Composer</w:t>
            </w:r>
          </w:p>
        </w:tc>
        <w:tc>
          <w:tcPr>
            <w:tcW w:type="dxa" w:w="4968"/>
            <w:vAlign w:val="center"/>
          </w:tcPr>
          <w:p>
            <w:r>
              <w:rPr>
                <w:sz w:val="16"/>
              </w:rPr>
              <w:t>DAG status, individual task logs, approved task restarts</w:t>
            </w:r>
          </w:p>
        </w:tc>
      </w:tr>
      <w:tr>
        <w:tc>
          <w:tcPr>
            <w:tcW w:type="dxa" w:w="4968"/>
            <w:vAlign w:val="center"/>
          </w:tcPr>
          <w:p>
            <w:r>
              <w:rPr>
                <w:sz w:val="16"/>
              </w:rPr>
              <w:t>GCP Storage/GCS</w:t>
            </w:r>
          </w:p>
        </w:tc>
        <w:tc>
          <w:tcPr>
            <w:tcW w:type="dxa" w:w="4968"/>
            <w:vAlign w:val="center"/>
          </w:tcPr>
          <w:p>
            <w:r>
              <w:rPr>
                <w:sz w:val="16"/>
              </w:rPr>
              <w:t>Source landing files, JSON artifacts, acceptance config</w:t>
            </w:r>
          </w:p>
        </w:tc>
      </w:tr>
      <w:tr>
        <w:tc>
          <w:tcPr>
            <w:tcW w:type="dxa" w:w="4968"/>
            <w:vAlign w:val="center"/>
          </w:tcPr>
          <w:p>
            <w:r>
              <w:rPr>
                <w:sz w:val="16"/>
              </w:rPr>
              <w:t>BigQuery datasets</w:t>
            </w:r>
          </w:p>
        </w:tc>
        <w:tc>
          <w:tcPr>
            <w:tcW w:type="dxa" w:w="4968"/>
            <w:vAlign w:val="center"/>
          </w:tcPr>
          <w:p>
            <w:r>
              <w:rPr>
                <w:sz w:val="16"/>
              </w:rPr>
              <w:t>Batch counts, ER, BV/DV, response outputs</w:t>
            </w:r>
          </w:p>
        </w:tc>
      </w:tr>
      <w:tr>
        <w:tc>
          <w:tcPr>
            <w:tcW w:type="dxa" w:w="4968"/>
            <w:vAlign w:val="center"/>
          </w:tcPr>
          <w:p>
            <w:r>
              <w:rPr>
                <w:sz w:val="16"/>
              </w:rPr>
              <w:t>Dataproc / Spark job logs</w:t>
            </w:r>
          </w:p>
        </w:tc>
        <w:tc>
          <w:tcPr>
            <w:tcW w:type="dxa" w:w="4968"/>
            <w:vAlign w:val="center"/>
          </w:tcPr>
          <w:p>
            <w:r>
              <w:rPr>
                <w:sz w:val="16"/>
              </w:rPr>
              <w:t>Engine error stack trace and processing failures</w:t>
            </w:r>
          </w:p>
        </w:tc>
      </w:tr>
      <w:tr>
        <w:tc>
          <w:tcPr>
            <w:tcW w:type="dxa" w:w="4968"/>
            <w:vAlign w:val="center"/>
          </w:tcPr>
          <w:p>
            <w:r>
              <w:rPr>
                <w:sz w:val="16"/>
              </w:rPr>
              <w:t>AWS S3 (authorized access)</w:t>
            </w:r>
          </w:p>
        </w:tc>
        <w:tc>
          <w:tcPr>
            <w:tcW w:type="dxa" w:w="4968"/>
            <w:vAlign w:val="center"/>
          </w:tcPr>
          <w:p>
            <w:r>
              <w:rPr>
                <w:sz w:val="16"/>
              </w:rPr>
              <w:t>Landing objects, GBS PUT and GET paths</w:t>
            </w:r>
          </w:p>
        </w:tc>
      </w:tr>
      <w:tr>
        <w:tc>
          <w:tcPr>
            <w:tcW w:type="dxa" w:w="4968"/>
            <w:vAlign w:val="center"/>
          </w:tcPr>
          <w:p>
            <w:r>
              <w:rPr>
                <w:sz w:val="16"/>
              </w:rPr>
              <w:t>Support contact for GBS &amp; data owners</w:t>
            </w:r>
          </w:p>
        </w:tc>
        <w:tc>
          <w:tcPr>
            <w:tcW w:type="dxa" w:w="4968"/>
            <w:vAlign w:val="center"/>
          </w:tcPr>
          <w:p>
            <w:r>
              <w:rPr>
                <w:sz w:val="16"/>
              </w:rPr>
              <w:t>External matching delays and data-quality escalations</w:t>
            </w:r>
          </w:p>
        </w:tc>
      </w:tr>
    </w:tbl>
    <w:p>
      <w:pPr>
        <w:pStyle w:val="Heading2"/>
      </w:pPr>
      <w:r>
        <w:t>Questions still worth asking</w:t>
      </w:r>
    </w:p>
    <w:p>
      <w:pPr>
        <w:pStyle w:val="ListBullet"/>
      </w:pPr>
      <w:r>
        <w:t>Is Airflow source DAG externally triggered when a file arrives, and which service triggers it?</w:t>
      </w:r>
    </w:p>
    <w:p>
      <w:pPr>
        <w:pStyle w:val="ListBullet"/>
      </w:pPr>
      <w:r>
        <w:t>What is the exact data-model distinction between 600 Delta and 700 Master?</w:t>
      </w:r>
    </w:p>
    <w:p>
      <w:pPr>
        <w:pStyle w:val="ListBullet"/>
      </w:pPr>
      <w:r>
        <w:t>Where are periodic rematch last-date and attempt counter stored? Does the initial match count among three?</w:t>
      </w:r>
    </w:p>
    <w:p>
      <w:pPr>
        <w:pStyle w:val="ListBullet"/>
      </w:pPr>
      <w:r>
        <w:t>Does the MDD engine automatically clean up partial loads before rerun?</w:t>
      </w:r>
    </w:p>
    <w:p>
      <w:pPr>
        <w:pStyle w:val="ListBullet"/>
      </w:pPr>
      <w:r>
        <w:t>What exact restore location and task should be used for a late GBS response?</w:t>
      </w:r>
    </w:p>
    <w:p>
      <w:pPr>
        <w:pStyle w:val="ListBullet"/>
      </w:pPr>
      <w:r>
        <w:t>Do 405 and 430 need exactly equal counts, or are differences permitted by design?</w:t>
      </w:r>
    </w:p>
    <w:p>
      <w:pPr>
        <w:pStyle w:val="ListBullet"/>
      </w:pPr>
      <w:r>
        <w:t>What are the notification system and downstream publish SLAs?</w:t>
      </w:r>
    </w:p>
    <w:p>
      <w:pPr>
        <w:pStyle w:val="ListBullet"/>
      </w:pPr>
      <w:r>
        <w:t>Which production credentials and role permissions are available to monitoring developers?</w:t>
      </w:r>
    </w:p>
    <w:p>
      <w:pPr>
        <w:pStyle w:val="Heading1"/>
      </w:pPr>
      <w:r>
        <w:t>13. Glossary and accuracy notes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sz w:val="16"/>
              </w:rPr>
              <w:t>Term</w:t>
            </w:r>
          </w:p>
        </w:tc>
        <w:tc>
          <w:tcPr>
            <w:tcW w:type="dxa" w:w="4968"/>
            <w:vAlign w:val="center"/>
          </w:tcPr>
          <w:p>
            <w:r>
              <w:rPr>
                <w:sz w:val="16"/>
              </w:rPr>
              <w:t>Meaning</w:t>
            </w:r>
          </w:p>
        </w:tc>
      </w:tr>
      <w:tr>
        <w:tc>
          <w:tcPr>
            <w:tcW w:type="dxa" w:w="4968"/>
            <w:vAlign w:val="center"/>
          </w:tcPr>
          <w:p>
            <w:r>
              <w:rPr>
                <w:sz w:val="16"/>
              </w:rPr>
              <w:t>DAG</w:t>
            </w:r>
          </w:p>
        </w:tc>
        <w:tc>
          <w:tcPr>
            <w:tcW w:type="dxa" w:w="4968"/>
            <w:vAlign w:val="center"/>
          </w:tcPr>
          <w:p>
            <w:r>
              <w:rPr>
                <w:sz w:val="16"/>
              </w:rPr>
              <w:t>Directed Acyclic Graph: tasks and dependencies in Airflow</w:t>
            </w:r>
          </w:p>
        </w:tc>
      </w:tr>
      <w:tr>
        <w:tc>
          <w:tcPr>
            <w:tcW w:type="dxa" w:w="4968"/>
            <w:vAlign w:val="center"/>
          </w:tcPr>
          <w:p>
            <w:r>
              <w:rPr>
                <w:sz w:val="16"/>
              </w:rPr>
              <w:t>Regex</w:t>
            </w:r>
          </w:p>
        </w:tc>
        <w:tc>
          <w:tcPr>
            <w:tcW w:type="dxa" w:w="4968"/>
            <w:vAlign w:val="center"/>
          </w:tcPr>
          <w:p>
            <w:r>
              <w:rPr>
                <w:sz w:val="16"/>
              </w:rPr>
              <w:t>Pattern used to verify file names</w:t>
            </w:r>
          </w:p>
        </w:tc>
      </w:tr>
      <w:tr>
        <w:tc>
          <w:tcPr>
            <w:tcW w:type="dxa" w:w="4968"/>
            <w:vAlign w:val="center"/>
          </w:tcPr>
          <w:p>
            <w:r>
              <w:rPr>
                <w:sz w:val="16"/>
              </w:rPr>
              <w:t>Batch ID</w:t>
            </w:r>
          </w:p>
        </w:tc>
        <w:tc>
          <w:tcPr>
            <w:tcW w:type="dxa" w:w="4968"/>
            <w:vAlign w:val="center"/>
          </w:tcPr>
          <w:p>
            <w:r>
              <w:rPr>
                <w:sz w:val="16"/>
              </w:rPr>
              <w:t>Identifier of a particular processing batch</w:t>
            </w:r>
          </w:p>
        </w:tc>
      </w:tr>
      <w:tr>
        <w:tc>
          <w:tcPr>
            <w:tcW w:type="dxa" w:w="4968"/>
            <w:vAlign w:val="center"/>
          </w:tcPr>
          <w:p>
            <w:r>
              <w:rPr>
                <w:sz w:val="16"/>
              </w:rPr>
              <w:t>MDD</w:t>
            </w:r>
          </w:p>
        </w:tc>
        <w:tc>
          <w:tcPr>
            <w:tcW w:type="dxa" w:w="4968"/>
            <w:vAlign w:val="center"/>
          </w:tcPr>
          <w:p>
            <w:r>
              <w:rPr>
                <w:sz w:val="16"/>
              </w:rPr>
              <w:t>Metadata/configuration-driven data processing layer referred to in KT</w:t>
            </w:r>
          </w:p>
        </w:tc>
      </w:tr>
      <w:tr>
        <w:tc>
          <w:tcPr>
            <w:tcW w:type="dxa" w:w="4968"/>
            <w:vAlign w:val="center"/>
          </w:tcPr>
          <w:p>
            <w:r>
              <w:rPr>
                <w:sz w:val="16"/>
              </w:rPr>
              <w:t>CDC</w:t>
            </w:r>
          </w:p>
        </w:tc>
        <w:tc>
          <w:tcPr>
            <w:tcW w:type="dxa" w:w="4968"/>
            <w:vAlign w:val="center"/>
          </w:tcPr>
          <w:p>
            <w:r>
              <w:rPr>
                <w:sz w:val="16"/>
              </w:rPr>
              <w:t>Change Data Capture: compare current and previous datasets</w:t>
            </w:r>
          </w:p>
        </w:tc>
      </w:tr>
      <w:tr>
        <w:tc>
          <w:tcPr>
            <w:tcW w:type="dxa" w:w="4968"/>
            <w:vAlign w:val="center"/>
          </w:tcPr>
          <w:p>
            <w:r>
              <w:rPr>
                <w:sz w:val="16"/>
              </w:rPr>
              <w:t>Canonical</w:t>
            </w:r>
          </w:p>
        </w:tc>
        <w:tc>
          <w:tcPr>
            <w:tcW w:type="dxa" w:w="4968"/>
            <w:vAlign w:val="center"/>
          </w:tcPr>
          <w:p>
            <w:r>
              <w:rPr>
                <w:sz w:val="16"/>
              </w:rPr>
              <w:t>Common standardized target structure</w:t>
            </w:r>
          </w:p>
        </w:tc>
      </w:tr>
      <w:tr>
        <w:tc>
          <w:tcPr>
            <w:tcW w:type="dxa" w:w="4968"/>
            <w:vAlign w:val="center"/>
          </w:tcPr>
          <w:p>
            <w:r>
              <w:rPr>
                <w:sz w:val="16"/>
              </w:rPr>
              <w:t>Parquet</w:t>
            </w:r>
          </w:p>
        </w:tc>
        <w:tc>
          <w:tcPr>
            <w:tcW w:type="dxa" w:w="4968"/>
            <w:vAlign w:val="center"/>
          </w:tcPr>
          <w:p>
            <w:r>
              <w:rPr>
                <w:sz w:val="16"/>
              </w:rPr>
              <w:t>Column-oriented analytic file storage format</w:t>
            </w:r>
          </w:p>
        </w:tc>
      </w:tr>
      <w:tr>
        <w:tc>
          <w:tcPr>
            <w:tcW w:type="dxa" w:w="4968"/>
            <w:vAlign w:val="center"/>
          </w:tcPr>
          <w:p>
            <w:r>
              <w:rPr>
                <w:sz w:val="16"/>
              </w:rPr>
              <w:t>DUNS</w:t>
            </w:r>
          </w:p>
        </w:tc>
        <w:tc>
          <w:tcPr>
            <w:tcW w:type="dxa" w:w="4968"/>
            <w:vAlign w:val="center"/>
          </w:tcPr>
          <w:p>
            <w:r>
              <w:rPr>
                <w:sz w:val="16"/>
              </w:rPr>
              <w:t>Dun &amp; Bradstreet business identifier</w:t>
            </w:r>
          </w:p>
        </w:tc>
      </w:tr>
      <w:tr>
        <w:tc>
          <w:tcPr>
            <w:tcW w:type="dxa" w:w="4968"/>
            <w:vAlign w:val="center"/>
          </w:tcPr>
          <w:p>
            <w:r>
              <w:rPr>
                <w:sz w:val="16"/>
              </w:rPr>
              <w:t>ER</w:t>
            </w:r>
          </w:p>
        </w:tc>
        <w:tc>
          <w:tcPr>
            <w:tcW w:type="dxa" w:w="4968"/>
            <w:vAlign w:val="center"/>
          </w:tcPr>
          <w:p>
            <w:r>
              <w:rPr>
                <w:sz w:val="16"/>
              </w:rPr>
              <w:t>Entity Resolution matching result layer</w:t>
            </w:r>
          </w:p>
        </w:tc>
      </w:tr>
      <w:tr>
        <w:tc>
          <w:tcPr>
            <w:tcW w:type="dxa" w:w="4968"/>
            <w:vAlign w:val="center"/>
          </w:tcPr>
          <w:p>
            <w:r>
              <w:rPr>
                <w:sz w:val="16"/>
              </w:rPr>
              <w:t>STS</w:t>
            </w:r>
          </w:p>
        </w:tc>
        <w:tc>
          <w:tcPr>
            <w:tcW w:type="dxa" w:w="4968"/>
            <w:vAlign w:val="center"/>
          </w:tcPr>
          <w:p>
            <w:r>
              <w:rPr>
                <w:sz w:val="16"/>
              </w:rPr>
              <w:t>GCP Storage Transfer Service</w:t>
            </w:r>
          </w:p>
        </w:tc>
      </w:tr>
      <w:tr>
        <w:tc>
          <w:tcPr>
            <w:tcW w:type="dxa" w:w="4968"/>
            <w:vAlign w:val="center"/>
          </w:tcPr>
          <w:p>
            <w:r>
              <w:rPr>
                <w:sz w:val="16"/>
              </w:rPr>
              <w:t>BV / DV</w:t>
            </w:r>
          </w:p>
        </w:tc>
        <w:tc>
          <w:tcPr>
            <w:tcW w:type="dxa" w:w="4968"/>
            <w:vAlign w:val="center"/>
          </w:tcPr>
          <w:p>
            <w:r>
              <w:rPr>
                <w:sz w:val="16"/>
              </w:rPr>
              <w:t>Base View (latest batch) / Domain View (full domain snapshot)</w:t>
            </w:r>
          </w:p>
        </w:tc>
      </w:tr>
      <w:tr>
        <w:tc>
          <w:tcPr>
            <w:tcW w:type="dxa" w:w="4968"/>
            <w:vAlign w:val="center"/>
          </w:tcPr>
          <w:p>
            <w:r>
              <w:rPr>
                <w:sz w:val="16"/>
              </w:rPr>
              <w:t>Idempotent rerun</w:t>
            </w:r>
          </w:p>
        </w:tc>
        <w:tc>
          <w:tcPr>
            <w:tcW w:type="dxa" w:w="4968"/>
            <w:vAlign w:val="center"/>
          </w:tcPr>
          <w:p>
            <w:r>
              <w:rPr>
                <w:sz w:val="16"/>
              </w:rPr>
              <w:t>Rerun designed not to duplicate or corrupt previously committed output</w:t>
            </w:r>
          </w:p>
        </w:tc>
      </w:tr>
    </w:tbl>
    <w:p>
      <w:pPr>
        <w:pStyle w:val="Heading2"/>
      </w:pPr>
      <w:r>
        <w:t>What is confirmed vs still to verify</w:t>
      </w:r>
    </w:p>
    <w:p>
      <w:r>
        <w:t>Confirmed by KT: Lambda API ingestion; S3 landing; STS to GCS; source DAG; MDD regex; workflow refresh; Dataproc processing; 405/430 tables; S3 PUT/GET; GBS 24-hour wait; ER accepted/unaccepted; acceptance indicator 1; Exclusion 90-day rematch and three-try threshold; MetricsHub audits; BV/DV; DV concurrent updates; failed/previous-step restart options.</w:t>
      </w:r>
    </w:p>
    <w:p>
      <w:r>
        <w:t>Still verify in actual environment: exact bucket paths and JSON structure, DAG trigger schedule, unaccepted indicator value, code/name of unchanged CDC category, 600 vs 700 semantics, automatic partial-load cleanup, late-response restore procedure, accepted match confidence patterns, 3-try counting rules, and downstream notification technical name.</w:t>
      </w:r>
    </w:p>
    <w:p>
      <w:r>
        <w:t>STUDY TIP: For a Jira incident, always start with: Source → Batch ID → Failed Airflow step → logs → input/output table counts → MDD configuration → root cause → authorized recovery → DV validation.</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learning notes  •  Prepared from supplied KT transcript &amp; screenshots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ASCENT  |  GOVERNMENT SOURCES  |  KT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287"/>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532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