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Government Data Platform</w:t>
      </w:r>
    </w:p>
    <w:p>
      <w:pPr>
        <w:pStyle w:val="Heading1"/>
      </w:pPr>
      <w:r>
        <w:t>Staging &amp; Production Monitoring Runbook</w:t>
      </w:r>
    </w:p>
    <w:p>
      <w:r>
        <w:t>Practical SOP | MDD UI • One-Click Operation • Airflow • GCS • BigQuery • GBS Matching</w:t>
      </w:r>
    </w:p>
    <w:p>
      <w:r>
        <w:t>Prepared for self-reference and reverse knowledge transfer | 22 October 2026</w:t>
      </w:r>
    </w:p>
    <w:p>
      <w:r>
        <w:t>Status: KT-based working runbook. Exact environment URLs, source schedules, permissions, and UI labels must be validated against the live platform.</w:t>
      </w:r>
    </w:p>
    <w:p>
      <w:pPr>
        <w:pStyle w:val="Heading1"/>
      </w:pPr>
      <w:r>
        <w:t>1. Purpose and operating principles</w:t>
      </w:r>
    </w:p>
    <w:p>
      <w:r>
        <w:t>Use this runbook to check whether expected Government Data source pipelines ran, identify failures, investigate root causes, and determine the appropriate approved recovery path. It is also a presentation guide for reverse KT.</w:t>
      </w:r>
    </w:p>
    <w:p>
      <w:pPr>
        <w:pStyle w:val="ListBullet"/>
      </w:pPr>
      <w:r>
        <w:t>Monitor Production and Staging separately. Production is business-critical; do not change configuration or restart jobs without the required approval.</w:t>
      </w:r>
    </w:p>
    <w:p>
      <w:pPr>
        <w:pStyle w:val="ListBullet"/>
      </w:pPr>
      <w:r>
        <w:t>A green historical run does not prove the expected daily run completed. Always verify source, expected processing date, batch ID, and latest relevant run.</w:t>
      </w:r>
    </w:p>
    <w:p>
      <w:pPr>
        <w:pStyle w:val="ListBullet"/>
      </w:pPr>
      <w:r>
        <w:t>Use MDD UI One-Click Operation for a quick overview; use Airflow task logs for detailed investigation.</w:t>
      </w:r>
    </w:p>
    <w:p>
      <w:pPr>
        <w:pStyle w:val="ListBullet"/>
      </w:pPr>
      <w:r>
        <w:t>Do not treat every zero-record CDC/match run as a defect. Check whether the source actually has new or changed records.</w:t>
      </w:r>
    </w:p>
    <w:p>
      <w:pPr>
        <w:pStyle w:val="ListBullet"/>
      </w:pPr>
      <w:r>
        <w:t>Capture evidence: environment, source, batch ID, DAG/run timestamp, failed step, exact error, counts, impact, owner, and next action.</w:t>
      </w:r>
    </w:p>
    <w:p>
      <w:pPr>
        <w:pStyle w:val="Heading1"/>
      </w:pPr>
      <w:r>
        <w:t>2. Architecture: from source to consumer</w:t>
      </w:r>
    </w:p>
    <w:p>
      <w:r>
        <w:t>Government source/API → AWS Lambda fetch → AWS S3 landing → transfer to GCS → source-specific Airflow DAG → Dataproc/MDD processing → BigQuery/Parquet outputs → GBS matching and Entity Resolution (where applicable) → audit/domain publishing → downstream consumer.</w:t>
      </w:r>
    </w:p>
    <w:p>
      <w:r>
        <w:t>Example: Exclusion is a daily feed; the source DAG is expected to process the daily file. This does NOT imply every unchanged business record is sent for matching every day.</w:t>
      </w:r>
    </w:p>
    <w:p>
      <w:pPr>
        <w:pStyle w:val="Heading1"/>
      </w:pPr>
      <w:r>
        <w:t>3. Tools and their roles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Tool / feature</w:t>
            </w:r>
          </w:p>
        </w:tc>
        <w:tc>
          <w:tcPr>
            <w:tcW w:type="dxa" w:w="4968"/>
          </w:tcPr>
          <w:p>
            <w:r>
              <w:t>Primary use</w:t>
            </w:r>
          </w:p>
        </w:tc>
      </w:tr>
      <w:tr>
        <w:tc>
          <w:tcPr>
            <w:tcW w:type="dxa" w:w="4968"/>
          </w:tcPr>
          <w:p>
            <w:r>
              <w:t>MDD UI / Source configuration</w:t>
            </w:r>
          </w:p>
        </w:tc>
        <w:tc>
          <w:tcPr>
            <w:tcW w:type="dxa" w:w="4968"/>
          </w:tcPr>
          <w:p>
            <w:r>
              <w:t>File regex, layouts, validations, derived fields, match priorities/queries, acceptance file, consumers and domain mappings.</w:t>
            </w:r>
          </w:p>
        </w:tc>
      </w:tr>
      <w:tr>
        <w:tc>
          <w:tcPr>
            <w:tcW w:type="dxa" w:w="4968"/>
          </w:tcPr>
          <w:p>
            <w:r>
              <w:t>MDD UI / Manage Workflow</w:t>
            </w:r>
          </w:p>
        </w:tc>
        <w:tc>
          <w:tcPr>
            <w:tcW w:type="dxa" w:w="4968"/>
          </w:tcPr>
          <w:p>
            <w:r>
              <w:t>Workflow Refresh after configuration changes; refreshed settings feed later batch configuration generation.</w:t>
            </w:r>
          </w:p>
        </w:tc>
      </w:tr>
      <w:tr>
        <w:tc>
          <w:tcPr>
            <w:tcW w:type="dxa" w:w="4968"/>
          </w:tcPr>
          <w:p>
            <w:r>
              <w:t>MDD UI / One-Click Operation</w:t>
            </w:r>
          </w:p>
        </w:tc>
        <w:tc>
          <w:tcPr>
            <w:tcW w:type="dxa" w:w="4968"/>
          </w:tcPr>
          <w:p>
            <w:r>
              <w:t>Source/batch quick status, record counts, job/subprocess details, and authorized restart options.</w:t>
            </w:r>
          </w:p>
        </w:tc>
      </w:tr>
      <w:tr>
        <w:tc>
          <w:tcPr>
            <w:tcW w:type="dxa" w:w="4968"/>
          </w:tcPr>
          <w:p>
            <w:r>
              <w:t>Airflow</w:t>
            </w:r>
          </w:p>
        </w:tc>
        <w:tc>
          <w:tcPr>
            <w:tcW w:type="dxa" w:w="4968"/>
          </w:tcPr>
          <w:p>
            <w:r>
              <w:t>Expected DAG runs, graph/grid task statuses, task logs, dependencies, and execution history.</w:t>
            </w:r>
          </w:p>
        </w:tc>
      </w:tr>
      <w:tr>
        <w:tc>
          <w:tcPr>
            <w:tcW w:type="dxa" w:w="4968"/>
          </w:tcPr>
          <w:p>
            <w:r>
              <w:t>GCS</w:t>
            </w:r>
          </w:p>
        </w:tc>
        <w:tc>
          <w:tcPr>
            <w:tcW w:type="dxa" w:w="4968"/>
          </w:tcPr>
          <w:p>
            <w:r>
              <w:t>Transferred source files, generated batch configuration, intermediate Parquet and matching exchange locations.</w:t>
            </w:r>
          </w:p>
        </w:tc>
      </w:tr>
      <w:tr>
        <w:tc>
          <w:tcPr>
            <w:tcW w:type="dxa" w:w="4968"/>
          </w:tcPr>
          <w:p>
            <w:r>
              <w:t>BigQuery</w:t>
            </w:r>
          </w:p>
        </w:tc>
        <w:tc>
          <w:tcPr>
            <w:tcW w:type="dxa" w:w="4968"/>
          </w:tcPr>
          <w:p>
            <w:r>
              <w:t>Source-stage counts, CDC, validation outputs, matching input/output and entity resolution evidence.</w:t>
            </w:r>
          </w:p>
        </w:tc>
      </w:tr>
      <w:tr>
        <w:tc>
          <w:tcPr>
            <w:tcW w:type="dxa" w:w="4968"/>
          </w:tcPr>
          <w:p>
            <w:r>
              <w:t>GBS matching team</w:t>
            </w:r>
          </w:p>
        </w:tc>
        <w:tc>
          <w:tcPr>
            <w:tcW w:type="dxa" w:w="4968"/>
          </w:tcPr>
          <w:p>
            <w:r>
              <w:t>Investigate missing or unprocessed matching requests/responses outside the platform.</w:t>
            </w:r>
          </w:p>
        </w:tc>
      </w:tr>
      <w:tr>
        <w:tc>
          <w:tcPr>
            <w:tcW w:type="dxa" w:w="4968"/>
          </w:tcPr>
          <w:p>
            <w:r>
              <w:t>Production Job Monitor</w:t>
            </w:r>
          </w:p>
        </w:tc>
        <w:tc>
          <w:tcPr>
            <w:tcW w:type="dxa" w:w="4968"/>
          </w:tcPr>
          <w:p>
            <w:r>
              <w:t>Overview of prior-day expected production jobs, if available in your environment.</w:t>
            </w:r>
          </w:p>
        </w:tc>
      </w:tr>
    </w:tbl>
    <w:p/>
    <w:p>
      <w:pPr>
        <w:pStyle w:val="Heading1"/>
      </w:pPr>
      <w:r>
        <w:t>4. Daily monitoring: end-to-end checklist</w:t>
      </w:r>
    </w:p>
    <w:p>
      <w:pPr>
        <w:pStyle w:val="Heading2"/>
      </w:pPr>
      <w:r>
        <w:t>4.1 Prepare the monitoring window</w:t>
      </w:r>
    </w:p>
    <w:p>
      <w:pPr>
        <w:pStyle w:val="ListNumber"/>
      </w:pPr>
      <w:r>
        <w:t>Confirm which environment you are checking: Production or Staging.</w:t>
      </w:r>
    </w:p>
    <w:p>
      <w:pPr>
        <w:pStyle w:val="ListNumber"/>
      </w:pPr>
      <w:r>
        <w:t>Obtain the expected source list and schedule (daily, monthly, on-demand). Do not assume all sources run daily.</w:t>
      </w:r>
    </w:p>
    <w:p>
      <w:pPr>
        <w:pStyle w:val="ListNumber"/>
      </w:pPr>
      <w:r>
        <w:t>Determine the expected processing date and time window. For Production daily checks, review the prior-day run and any currently due runs.</w:t>
      </w:r>
    </w:p>
    <w:p>
      <w:pPr>
        <w:pStyle w:val="ListNumber"/>
      </w:pPr>
      <w:r>
        <w:t>Open the correct environment-specific MDD UI and Airflow links.</w:t>
      </w:r>
    </w:p>
    <w:p>
      <w:pPr>
        <w:pStyle w:val="Heading2"/>
      </w:pPr>
      <w:r>
        <w:t>4.2 Quick check in One-Click Operation</w:t>
      </w:r>
    </w:p>
    <w:p>
      <w:pPr>
        <w:pStyle w:val="ListNumber"/>
      </w:pPr>
      <w:r>
        <w:t>Open MDD UI → Platform Operation → One-Click Operation (KT navigation; labels may vary).</w:t>
      </w:r>
    </w:p>
    <w:p>
      <w:pPr>
        <w:pStyle w:val="ListNumber"/>
      </w:pPr>
      <w:r>
        <w:t>Select the source name and apply the filter.</w:t>
      </w:r>
    </w:p>
    <w:p>
      <w:pPr>
        <w:pStyle w:val="ListNumber"/>
      </w:pPr>
      <w:r>
        <w:t>Find the latest expected batch/run; record batch ID and execution date.</w:t>
      </w:r>
    </w:p>
    <w:p>
      <w:pPr>
        <w:pStyle w:val="ListNumber"/>
      </w:pPr>
      <w:r>
        <w:t>Review job/process status and displayed counts: output, discarded, deleted, qualified, and related categories.</w:t>
      </w:r>
    </w:p>
    <w:p>
      <w:pPr>
        <w:pStyle w:val="ListNumber"/>
      </w:pPr>
      <w:r>
        <w:t>Open the relevant job to inspect the available process/subprocess breakdown.</w:t>
      </w:r>
    </w:p>
    <w:p>
      <w:pPr>
        <w:pStyle w:val="ListNumber"/>
      </w:pPr>
      <w:r>
        <w:t>If successful, verify the expected counts and downstream publishing status before marking complete.</w:t>
      </w:r>
    </w:p>
    <w:p>
      <w:pPr>
        <w:pStyle w:val="ListNumber"/>
      </w:pPr>
      <w:r>
        <w:t>If failed, running too long, or missing, capture evidence and continue to Airflow.</w:t>
      </w:r>
    </w:p>
    <w:p>
      <w:pPr>
        <w:pStyle w:val="Heading2"/>
      </w:pPr>
      <w:r>
        <w:t>4.3 Detailed check in Airflow</w:t>
      </w:r>
    </w:p>
    <w:p>
      <w:pPr>
        <w:pStyle w:val="ListNumber"/>
      </w:pPr>
      <w:r>
        <w:t>Open the Airflow instance for the same environment.</w:t>
      </w:r>
    </w:p>
    <w:p>
      <w:pPr>
        <w:pStyle w:val="ListNumber"/>
      </w:pPr>
      <w:r>
        <w:t>Find the source-specific DAG (e.g., Exclusion daily DAG) and open Grid/Graph.</w:t>
      </w:r>
    </w:p>
    <w:p>
      <w:pPr>
        <w:pStyle w:val="ListNumber"/>
      </w:pPr>
      <w:r>
        <w:t>Select the exact run matching the date/batch being monitored.</w:t>
      </w:r>
    </w:p>
    <w:p>
      <w:pPr>
        <w:pStyle w:val="ListNumber"/>
      </w:pPr>
      <w:r>
        <w:t>Check the first failed task and upstream dependencies; open its logs.</w:t>
      </w:r>
    </w:p>
    <w:p>
      <w:pPr>
        <w:pStyle w:val="ListNumber"/>
      </w:pPr>
      <w:r>
        <w:t>Copy the error text, task ID, run ID, timestamp, and relevant context.</w:t>
      </w:r>
    </w:p>
    <w:p>
      <w:pPr>
        <w:pStyle w:val="ListNumber"/>
      </w:pPr>
      <w:r>
        <w:t>Classify as file/configuration, engine/data, validation, matching, publishing, or platform/integration issue.</w:t>
      </w:r>
    </w:p>
    <w:p>
      <w:pPr>
        <w:pStyle w:val="ListNumber"/>
      </w:pPr>
      <w:r>
        <w:t>Cross-check relevant GCS objects, BigQuery tables, or MDD configuration only as required.</w:t>
      </w:r>
    </w:p>
    <w:p>
      <w:pPr>
        <w:pStyle w:val="ListNumber"/>
      </w:pPr>
      <w:r>
        <w:t>Record owner, impact, action, and whether recovery is awaiting approval.</w:t>
      </w:r>
    </w:p>
    <w:p>
      <w:pPr>
        <w:pStyle w:val="Heading2"/>
      </w:pPr>
      <w:r>
        <w:t>4.4 Repeat for Staging</w:t>
      </w:r>
    </w:p>
    <w:p>
      <w:r>
        <w:t>Repeat the same steps in the Staging environment. Distinguish an active expected test run from an intentionally failed/old test. Do not label a historical failed test as a current incident without context.</w:t>
      </w:r>
    </w:p>
    <w:p>
      <w:pPr>
        <w:pStyle w:val="Heading1"/>
      </w:pPr>
      <w:r>
        <w:t>5. Airflow processing steps and what to verify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Step</w:t>
            </w:r>
          </w:p>
        </w:tc>
        <w:tc>
          <w:tcPr>
            <w:tcW w:type="dxa" w:w="4968"/>
          </w:tcPr>
          <w:p>
            <w:r>
              <w:t>Expected behavior / failure clue</w:t>
            </w:r>
          </w:p>
        </w:tc>
      </w:tr>
      <w:tr>
        <w:tc>
          <w:tcPr>
            <w:tcW w:type="dxa" w:w="4968"/>
          </w:tcPr>
          <w:p>
            <w:r>
              <w:t>init_dag_run</w:t>
            </w:r>
          </w:p>
        </w:tc>
        <w:tc>
          <w:tcPr>
            <w:tcW w:type="dxa" w:w="4968"/>
          </w:tcPr>
          <w:p>
            <w:r>
              <w:t>Loads source/run configuration; missing or deleted source config may fail.</w:t>
            </w:r>
          </w:p>
        </w:tc>
      </w:tr>
      <w:tr>
        <w:tc>
          <w:tcPr>
            <w:tcW w:type="dxa" w:w="4968"/>
          </w:tcPr>
          <w:p>
            <w:r>
              <w:t>files_to_process</w:t>
            </w:r>
          </w:p>
        </w:tc>
        <w:tc>
          <w:tcPr>
            <w:tcW w:type="dxa" w:w="4968"/>
          </w:tcPr>
          <w:p>
            <w:r>
              <w:t>Finds incoming GCS file and applies configured filename regex/checks; provider filename drift may fail.</w:t>
            </w:r>
          </w:p>
        </w:tc>
      </w:tr>
      <w:tr>
        <w:tc>
          <w:tcPr>
            <w:tcW w:type="dxa" w:w="4968"/>
          </w:tcPr>
          <w:p>
            <w:r>
              <w:t>create_batch_config</w:t>
            </w:r>
          </w:p>
        </w:tc>
        <w:tc>
          <w:tcPr>
            <w:tcW w:type="dxa" w:w="4968"/>
          </w:tcPr>
          <w:p>
            <w:r>
              <w:t>Creates batch config JSON from refreshed workflow settings; stale configuration is a common cause.</w:t>
            </w:r>
          </w:p>
        </w:tc>
      </w:tr>
      <w:tr>
        <w:tc>
          <w:tcPr>
            <w:tcW w:type="dxa" w:w="4968"/>
          </w:tcPr>
          <w:p>
            <w:r>
              <w:t>execute_engine</w:t>
            </w:r>
          </w:p>
        </w:tc>
        <w:tc>
          <w:tcPr>
            <w:tcW w:type="dxa" w:w="4968"/>
          </w:tcPr>
          <w:p>
            <w:r>
              <w:t>Dataproc/MDD engine parses, validates and transforms data; investigate cluster, schema, datatype, and data parsing errors.</w:t>
            </w:r>
          </w:p>
        </w:tc>
      </w:tr>
      <w:tr>
        <w:tc>
          <w:tcPr>
            <w:tcW w:type="dxa" w:w="4968"/>
          </w:tcPr>
          <w:p>
            <w:r>
              <w:t>validate_row_counts</w:t>
            </w:r>
          </w:p>
        </w:tc>
        <w:tc>
          <w:tcPr>
            <w:tcW w:type="dxa" w:w="4968"/>
          </w:tcPr>
          <w:p>
            <w:r>
              <w:t>Validates processing counts; investigate partial loads, unexpected rejects, and count mismatches.</w:t>
            </w:r>
          </w:p>
        </w:tc>
      </w:tr>
      <w:tr>
        <w:tc>
          <w:tcPr>
            <w:tcW w:type="dxa" w:w="4968"/>
          </w:tcPr>
          <w:p>
            <w:r>
              <w:t>run_match_input</w:t>
            </w:r>
          </w:p>
        </w:tc>
        <w:tc>
          <w:tcPr>
            <w:tcW w:type="dxa" w:w="4968"/>
          </w:tcPr>
          <w:p>
            <w:r>
              <w:t>Runs configured match queries and prepares matching input; investigate SQL and acceptance/config paths.</w:t>
            </w:r>
          </w:p>
        </w:tc>
      </w:tr>
      <w:tr>
        <w:tc>
          <w:tcPr>
            <w:tcW w:type="dxa" w:w="4968"/>
          </w:tcPr>
          <w:p>
            <w:r>
              <w:t>send_match_file_to_gbs</w:t>
            </w:r>
          </w:p>
        </w:tc>
        <w:tc>
          <w:tcPr>
            <w:tcW w:type="dxa" w:w="4968"/>
          </w:tcPr>
          <w:p>
            <w:r>
              <w:t>Sends match request to matching integration; investigate transfer, permission and connectivity.</w:t>
            </w:r>
          </w:p>
        </w:tc>
      </w:tr>
      <w:tr>
        <w:tc>
          <w:tcPr>
            <w:tcW w:type="dxa" w:w="4968"/>
          </w:tcPr>
          <w:p>
            <w:r>
              <w:t>wait_for_match_response</w:t>
            </w:r>
          </w:p>
        </w:tc>
        <w:tc>
          <w:tcPr>
            <w:tcW w:type="dxa" w:w="4968"/>
          </w:tcPr>
          <w:p>
            <w:r>
              <w:t>Waits for matching response; KT describes a 24-hour timeout and possible queue delays.</w:t>
            </w:r>
          </w:p>
        </w:tc>
      </w:tr>
      <w:tr>
        <w:tc>
          <w:tcPr>
            <w:tcW w:type="dxa" w:w="4968"/>
          </w:tcPr>
          <w:p>
            <w:r>
              <w:t>convert_match_response_to_parquet</w:t>
            </w:r>
          </w:p>
        </w:tc>
        <w:tc>
          <w:tcPr>
            <w:tcW w:type="dxa" w:w="4968"/>
          </w:tcPr>
          <w:p>
            <w:r>
              <w:t>Converts returned response to processable Parquet; investigate format/object existence.</w:t>
            </w:r>
          </w:p>
        </w:tc>
      </w:tr>
      <w:tr>
        <w:tc>
          <w:tcPr>
            <w:tcW w:type="dxa" w:w="4968"/>
          </w:tcPr>
          <w:p>
            <w:r>
              <w:t>validate_match_counts</w:t>
            </w:r>
          </w:p>
        </w:tc>
        <w:tc>
          <w:tcPr>
            <w:tcW w:type="dxa" w:w="4968"/>
          </w:tcPr>
          <w:p>
            <w:r>
              <w:t>Checks input/output counts and configured match-related queries, including rematch/iResearch eligibility logic.</w:t>
            </w:r>
          </w:p>
        </w:tc>
      </w:tr>
      <w:tr>
        <w:tc>
          <w:tcPr>
            <w:tcW w:type="dxa" w:w="4968"/>
          </w:tcPr>
          <w:p>
            <w:r>
              <w:t>publish_data_audits</w:t>
            </w:r>
          </w:p>
        </w:tc>
        <w:tc>
          <w:tcPr>
            <w:tcW w:type="dxa" w:w="4968"/>
          </w:tcPr>
          <w:p>
            <w:r>
              <w:t>Publishes data-quality/error audit information for reporting.</w:t>
            </w:r>
          </w:p>
        </w:tc>
      </w:tr>
      <w:tr>
        <w:tc>
          <w:tcPr>
            <w:tcW w:type="dxa" w:w="4968"/>
          </w:tcPr>
          <w:p>
            <w:r>
              <w:t>publish_domain_view</w:t>
            </w:r>
          </w:p>
        </w:tc>
        <w:tc>
          <w:tcPr>
            <w:tcW w:type="dxa" w:w="4968"/>
          </w:tcPr>
          <w:p>
            <w:r>
              <w:t>Updates current consumer-facing domain snapshot; concurrent writes can conflict.</w:t>
            </w:r>
          </w:p>
        </w:tc>
      </w:tr>
      <w:tr>
        <w:tc>
          <w:tcPr>
            <w:tcW w:type="dxa" w:w="4968"/>
          </w:tcPr>
          <w:p>
            <w:r>
              <w:t>end_dag_run</w:t>
            </w:r>
          </w:p>
        </w:tc>
        <w:tc>
          <w:tcPr>
            <w:tcW w:type="dxa" w:w="4968"/>
          </w:tcPr>
          <w:p>
            <w:r>
              <w:t>Marks workflow completion; verify preceding required steps succeeded.</w:t>
            </w:r>
          </w:p>
        </w:tc>
      </w:tr>
    </w:tbl>
    <w:p/>
    <w:p>
      <w:pPr>
        <w:pStyle w:val="Heading1"/>
      </w:pPr>
      <w:r>
        <w:t>6. Data verification reference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BigQuery suffix / output</w:t>
            </w:r>
          </w:p>
        </w:tc>
        <w:tc>
          <w:tcPr>
            <w:tcW w:type="dxa" w:w="4968"/>
          </w:tcPr>
          <w:p>
            <w:r>
              <w:t>Meaning / investigation use</w:t>
            </w:r>
          </w:p>
        </w:tc>
      </w:tr>
      <w:tr>
        <w:tc>
          <w:tcPr>
            <w:tcW w:type="dxa" w:w="4968"/>
          </w:tcPr>
          <w:p>
            <w:r>
              <w:t>000_external</w:t>
            </w:r>
          </w:p>
        </w:tc>
        <w:tc>
          <w:tcPr>
            <w:tcW w:type="dxa" w:w="4968"/>
          </w:tcPr>
          <w:p>
            <w:r>
              <w:t>Raw source data / external input.</w:t>
            </w:r>
          </w:p>
        </w:tc>
      </w:tr>
      <w:tr>
        <w:tc>
          <w:tcPr>
            <w:tcW w:type="dxa" w:w="4968"/>
          </w:tcPr>
          <w:p>
            <w:r>
              <w:t>110_CDC</w:t>
            </w:r>
          </w:p>
        </w:tc>
        <w:tc>
          <w:tcPr>
            <w:tcW w:type="dxa" w:w="4968"/>
          </w:tcPr>
          <w:p>
            <w:r>
              <w:t>Changed records compared with prior state.</w:t>
            </w:r>
          </w:p>
        </w:tc>
      </w:tr>
      <w:tr>
        <w:tc>
          <w:tcPr>
            <w:tcW w:type="dxa" w:w="4968"/>
          </w:tcPr>
          <w:p>
            <w:r>
              <w:t>130_bad</w:t>
            </w:r>
          </w:p>
        </w:tc>
        <w:tc>
          <w:tcPr>
            <w:tcW w:type="dxa" w:w="4968"/>
          </w:tcPr>
          <w:p>
            <w:r>
              <w:t>Data-quality failures / rejected records.</w:t>
            </w:r>
          </w:p>
        </w:tc>
      </w:tr>
      <w:tr>
        <w:tc>
          <w:tcPr>
            <w:tcW w:type="dxa" w:w="4968"/>
          </w:tcPr>
          <w:p>
            <w:r>
              <w:t>140_info_deleted</w:t>
            </w:r>
          </w:p>
        </w:tc>
        <w:tc>
          <w:tcPr>
            <w:tcW w:type="dxa" w:w="4968"/>
          </w:tcPr>
          <w:p>
            <w:r>
              <w:t>Records absent from a later full file compared with earlier state (source-specific logic).</w:t>
            </w:r>
          </w:p>
        </w:tc>
      </w:tr>
      <w:tr>
        <w:tc>
          <w:tcPr>
            <w:tcW w:type="dxa" w:w="4968"/>
          </w:tcPr>
          <w:p>
            <w:r>
              <w:t>150_dedup</w:t>
            </w:r>
          </w:p>
        </w:tc>
        <w:tc>
          <w:tcPr>
            <w:tcW w:type="dxa" w:w="4968"/>
          </w:tcPr>
          <w:p>
            <w:r>
              <w:t>Duplicate-processing output.</w:t>
            </w:r>
          </w:p>
        </w:tc>
      </w:tr>
      <w:tr>
        <w:tc>
          <w:tcPr>
            <w:tcW w:type="dxa" w:w="4968"/>
          </w:tcPr>
          <w:p>
            <w:r>
              <w:t>200_success</w:t>
            </w:r>
          </w:p>
        </w:tc>
        <w:tc>
          <w:tcPr>
            <w:tcW w:type="dxa" w:w="4968"/>
          </w:tcPr>
          <w:p>
            <w:r>
              <w:t>Successful validated records.</w:t>
            </w:r>
          </w:p>
        </w:tc>
      </w:tr>
      <w:tr>
        <w:tc>
          <w:tcPr>
            <w:tcW w:type="dxa" w:w="4968"/>
          </w:tcPr>
          <w:p>
            <w:r>
              <w:t>210_extended</w:t>
            </w:r>
          </w:p>
        </w:tc>
        <w:tc>
          <w:tcPr>
            <w:tcW w:type="dxa" w:w="4968"/>
          </w:tcPr>
          <w:p>
            <w:r>
              <w:t>Derived/extended field processing.</w:t>
            </w:r>
          </w:p>
        </w:tc>
      </w:tr>
      <w:tr>
        <w:tc>
          <w:tcPr>
            <w:tcW w:type="dxa" w:w="4968"/>
          </w:tcPr>
          <w:p>
            <w:r>
              <w:t>310_invalid_extended</w:t>
            </w:r>
          </w:p>
        </w:tc>
        <w:tc>
          <w:tcPr>
            <w:tcW w:type="dxa" w:w="4968"/>
          </w:tcPr>
          <w:p>
            <w:r>
              <w:t>Derived-field validation failures.</w:t>
            </w:r>
          </w:p>
        </w:tc>
      </w:tr>
      <w:tr>
        <w:tc>
          <w:tcPr>
            <w:tcW w:type="dxa" w:w="4968"/>
          </w:tcPr>
          <w:p>
            <w:r>
              <w:t>600_delta</w:t>
            </w:r>
          </w:p>
        </w:tc>
        <w:tc>
          <w:tcPr>
            <w:tcW w:type="dxa" w:w="4968"/>
          </w:tcPr>
          <w:p>
            <w:r>
              <w:t>Current delta output.</w:t>
            </w:r>
          </w:p>
        </w:tc>
      </w:tr>
      <w:tr>
        <w:tc>
          <w:tcPr>
            <w:tcW w:type="dxa" w:w="4968"/>
          </w:tcPr>
          <w:p>
            <w:r>
              <w:t>700_master</w:t>
            </w:r>
          </w:p>
        </w:tc>
        <w:tc>
          <w:tcPr>
            <w:tcW w:type="dxa" w:w="4968"/>
          </w:tcPr>
          <w:p>
            <w:r>
              <w:t>Master/current batch output.</w:t>
            </w:r>
          </w:p>
        </w:tc>
      </w:tr>
      <w:tr>
        <w:tc>
          <w:tcPr>
            <w:tcW w:type="dxa" w:w="4968"/>
          </w:tcPr>
          <w:p>
            <w:r>
              <w:t>405_match_input</w:t>
            </w:r>
          </w:p>
        </w:tc>
        <w:tc>
          <w:tcPr>
            <w:tcW w:type="dxa" w:w="4968"/>
          </w:tcPr>
          <w:p>
            <w:r>
              <w:t>GBS match input/request records.</w:t>
            </w:r>
          </w:p>
        </w:tc>
      </w:tr>
      <w:tr>
        <w:tc>
          <w:tcPr>
            <w:tcW w:type="dxa" w:w="4968"/>
          </w:tcPr>
          <w:p>
            <w:r>
              <w:t>430_match_output</w:t>
            </w:r>
          </w:p>
        </w:tc>
        <w:tc>
          <w:tcPr>
            <w:tcW w:type="dxa" w:w="4968"/>
          </w:tcPr>
          <w:p>
            <w:r>
              <w:t>GBS match output/response records.</w:t>
            </w:r>
          </w:p>
        </w:tc>
      </w:tr>
      <w:tr>
        <w:tc>
          <w:tcPr>
            <w:tcW w:type="dxa" w:w="4968"/>
          </w:tcPr>
          <w:p>
            <w:r>
              <w:t>DNB_ENTITY_RESOLUTION_&lt;SOURCE&gt;</w:t>
            </w:r>
          </w:p>
        </w:tc>
        <w:tc>
          <w:tcPr>
            <w:tcW w:type="dxa" w:w="4968"/>
          </w:tcPr>
          <w:p>
            <w:r>
              <w:t>Matching results, accepted and unaccepted; inspect finalized_duns and dnb_match_acceptance_indicator.</w:t>
            </w:r>
          </w:p>
        </w:tc>
      </w:tr>
    </w:tbl>
    <w:p/>
    <w:p>
      <w:r>
        <w:rPr>
          <w:i/>
          <w:color w:val="6E4B26"/>
        </w:rPr>
        <w:t>Operational note: Table prefixes, dataset names, storage backing and availability vary by source. Query only the relevant tables; do not infer a failure from count differences without understanding source-specific logic.</w:t>
      </w:r>
    </w:p>
    <w:p>
      <w:pPr>
        <w:pStyle w:val="Heading1"/>
      </w:pPr>
      <w:r>
        <w:t>7. GBS/DUNS matching: what happens</w:t>
      </w:r>
    </w:p>
    <w:p>
      <w:pPr>
        <w:pStyle w:val="ListNumber"/>
      </w:pPr>
      <w:r>
        <w:t>The source match-input query selects eligible entities (often new/changed or due for periodic rematch).</w:t>
      </w:r>
    </w:p>
    <w:p>
      <w:pPr>
        <w:pStyle w:val="ListNumber"/>
      </w:pPr>
      <w:r>
        <w:t>A match request contains business identifiers such as business name and address, with other fields when available.</w:t>
      </w:r>
    </w:p>
    <w:p>
      <w:pPr>
        <w:pStyle w:val="ListNumber"/>
      </w:pPr>
      <w:r>
        <w:t>GBS attempts to identify the corresponding business/DUNS and returns matching results.</w:t>
      </w:r>
    </w:p>
    <w:p>
      <w:pPr>
        <w:pStyle w:val="ListNumber"/>
      </w:pPr>
      <w:r>
        <w:t>The configured Match Acceptance Criteria determine whether the returned match is accepted; matching and acceptance are separate decisions.</w:t>
      </w:r>
    </w:p>
    <w:p>
      <w:pPr>
        <w:pStyle w:val="ListNumber"/>
      </w:pPr>
      <w:r>
        <w:t>The Entity Resolution table retains matching results and acceptance indicators.</w:t>
      </w:r>
    </w:p>
    <w:p>
      <w:pPr>
        <w:pStyle w:val="ListNumber"/>
      </w:pPr>
      <w:r>
        <w:t>Unaccepted/unmatched records may be periodically rematched and, when configured criteria are met, inserted into an iResearch request table.</w:t>
      </w:r>
    </w:p>
    <w:p>
      <w:r>
        <w:t>For Exclusion, KT mentioned a 90-day periodic rematch and three retries. Verify exact rule semantics in the source configuration; do not generalize to other sources.</w:t>
      </w:r>
    </w:p>
    <w:p>
      <w:r>
        <w:rPr>
          <w:i/>
          <w:color w:val="6E4B26"/>
        </w:rPr>
        <w:t>Operational note: The KT used inconsistent wording about PUT/GET response folders. Confirm the actual request and response bucket paths in your environment before checking, restoring or escalating files.</w:t>
      </w:r>
    </w:p>
    <w:p>
      <w:pPr>
        <w:pStyle w:val="Heading1"/>
      </w:pPr>
      <w:r>
        <w:t>8. Failure triage and first response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Symptom</w:t>
            </w:r>
          </w:p>
        </w:tc>
        <w:tc>
          <w:tcPr>
            <w:tcW w:type="dxa" w:w="3312"/>
          </w:tcPr>
          <w:p>
            <w:r>
              <w:t>Check first</w:t>
            </w:r>
          </w:p>
        </w:tc>
        <w:tc>
          <w:tcPr>
            <w:tcW w:type="dxa" w:w="3312"/>
          </w:tcPr>
          <w:p>
            <w:r>
              <w:t>Safe next action</w:t>
            </w:r>
          </w:p>
        </w:tc>
      </w:tr>
      <w:tr>
        <w:tc>
          <w:tcPr>
            <w:tcW w:type="dxa" w:w="3312"/>
          </w:tcPr>
          <w:p>
            <w:r>
              <w:t>No file / files_to_process failed</w:t>
            </w:r>
          </w:p>
        </w:tc>
        <w:tc>
          <w:tcPr>
            <w:tcW w:type="dxa" w:w="3312"/>
          </w:tcPr>
          <w:p>
            <w:r>
              <w:t>Expected filename, source arrival, regex, GCS path</w:t>
            </w:r>
          </w:p>
        </w:tc>
        <w:tc>
          <w:tcPr>
            <w:tcW w:type="dxa" w:w="3312"/>
          </w:tcPr>
          <w:p>
            <w:r>
              <w:t>Compare actual filename and configured pattern; coordinate correction.</w:t>
            </w:r>
          </w:p>
        </w:tc>
      </w:tr>
      <w:tr>
        <w:tc>
          <w:tcPr>
            <w:tcW w:type="dxa" w:w="3312"/>
          </w:tcPr>
          <w:p>
            <w:r>
              <w:t>Stale config / create_batch_config</w:t>
            </w:r>
          </w:p>
        </w:tc>
        <w:tc>
          <w:tcPr>
            <w:tcW w:type="dxa" w:w="3312"/>
          </w:tcPr>
          <w:p>
            <w:r>
              <w:t>Last UI change, workflow refresh, generated config</w:t>
            </w:r>
          </w:p>
        </w:tc>
        <w:tc>
          <w:tcPr>
            <w:tcW w:type="dxa" w:w="3312"/>
          </w:tcPr>
          <w:p>
            <w:r>
              <w:t>Refresh workflow if authorized; regenerate config from correct upstream step.</w:t>
            </w:r>
          </w:p>
        </w:tc>
      </w:tr>
      <w:tr>
        <w:tc>
          <w:tcPr>
            <w:tcW w:type="dxa" w:w="3312"/>
          </w:tcPr>
          <w:p>
            <w:r>
              <w:t>execute_engine failed</w:t>
            </w:r>
          </w:p>
        </w:tc>
        <w:tc>
          <w:tcPr>
            <w:tcW w:type="dxa" w:w="3312"/>
          </w:tcPr>
          <w:p>
            <w:r>
              <w:t>Dataproc logs, cluster, schema, datatype, parsing</w:t>
            </w:r>
          </w:p>
        </w:tc>
        <w:tc>
          <w:tcPr>
            <w:tcW w:type="dxa" w:w="3312"/>
          </w:tcPr>
          <w:p>
            <w:r>
              <w:t>Differentiate transient infrastructure from data/config issue.</w:t>
            </w:r>
          </w:p>
        </w:tc>
      </w:tr>
      <w:tr>
        <w:tc>
          <w:tcPr>
            <w:tcW w:type="dxa" w:w="3312"/>
          </w:tcPr>
          <w:p>
            <w:r>
              <w:t>validate_row_counts failed</w:t>
            </w:r>
          </w:p>
        </w:tc>
        <w:tc>
          <w:tcPr>
            <w:tcW w:type="dxa" w:w="3312"/>
          </w:tcPr>
          <w:p>
            <w:r>
              <w:t>Input/output/reject/dedup counts</w:t>
            </w:r>
          </w:p>
        </w:tc>
        <w:tc>
          <w:tcPr>
            <w:tcW w:type="dxa" w:w="3312"/>
          </w:tcPr>
          <w:p>
            <w:r>
              <w:t>Reconcile counts and investigate affected records.</w:t>
            </w:r>
          </w:p>
        </w:tc>
      </w:tr>
      <w:tr>
        <w:tc>
          <w:tcPr>
            <w:tcW w:type="dxa" w:w="3312"/>
          </w:tcPr>
          <w:p>
            <w:r>
              <w:t>run_match_input failed</w:t>
            </w:r>
          </w:p>
        </w:tc>
        <w:tc>
          <w:tcPr>
            <w:tcW w:type="dxa" w:w="3312"/>
          </w:tcPr>
          <w:p>
            <w:r>
              <w:t>SQL, priorities, acceptance file and target paths</w:t>
            </w:r>
          </w:p>
        </w:tc>
        <w:tc>
          <w:tcPr>
            <w:tcW w:type="dxa" w:w="3312"/>
          </w:tcPr>
          <w:p>
            <w:r>
              <w:t>Correct query/path in authorized environment; refresh if changed.</w:t>
            </w:r>
          </w:p>
        </w:tc>
      </w:tr>
      <w:tr>
        <w:tc>
          <w:tcPr>
            <w:tcW w:type="dxa" w:w="3312"/>
          </w:tcPr>
          <w:p>
            <w:r>
              <w:t>GBS request send failed</w:t>
            </w:r>
          </w:p>
        </w:tc>
        <w:tc>
          <w:tcPr>
            <w:tcW w:type="dxa" w:w="3312"/>
          </w:tcPr>
          <w:p>
            <w:r>
              <w:t>Transfer/permission/connectivity logs</w:t>
            </w:r>
          </w:p>
        </w:tc>
        <w:tc>
          <w:tcPr>
            <w:tcW w:type="dxa" w:w="3312"/>
          </w:tcPr>
          <w:p>
            <w:r>
              <w:t>Escalate to integration owner/GBS as appropriate.</w:t>
            </w:r>
          </w:p>
        </w:tc>
      </w:tr>
      <w:tr>
        <w:tc>
          <w:tcPr>
            <w:tcW w:type="dxa" w:w="3312"/>
          </w:tcPr>
          <w:p>
            <w:r>
              <w:t>Match response timeout</w:t>
            </w:r>
          </w:p>
        </w:tc>
        <w:tc>
          <w:tcPr>
            <w:tcW w:type="dxa" w:w="3312"/>
          </w:tcPr>
          <w:p>
            <w:r>
              <w:t>Request file, expected response location, timestamps</w:t>
            </w:r>
          </w:p>
        </w:tc>
        <w:tc>
          <w:tcPr>
            <w:tcW w:type="dxa" w:w="3312"/>
          </w:tcPr>
          <w:p>
            <w:r>
              <w:t>Check whether response exists; escalate missing response to GBS team.</w:t>
            </w:r>
          </w:p>
        </w:tc>
      </w:tr>
      <w:tr>
        <w:tc>
          <w:tcPr>
            <w:tcW w:type="dxa" w:w="3312"/>
          </w:tcPr>
          <w:p>
            <w:r>
              <w:t>validate_match_counts failed</w:t>
            </w:r>
          </w:p>
        </w:tc>
        <w:tc>
          <w:tcPr>
            <w:tcW w:type="dxa" w:w="3312"/>
          </w:tcPr>
          <w:p>
            <w:r>
              <w:t>405 input, 430 output, acceptance/ER queries</w:t>
            </w:r>
          </w:p>
        </w:tc>
        <w:tc>
          <w:tcPr>
            <w:tcW w:type="dxa" w:w="3312"/>
          </w:tcPr>
          <w:p>
            <w:r>
              <w:t>Compare counts and examine configured queries.</w:t>
            </w:r>
          </w:p>
        </w:tc>
      </w:tr>
      <w:tr>
        <w:tc>
          <w:tcPr>
            <w:tcW w:type="dxa" w:w="3312"/>
          </w:tcPr>
          <w:p>
            <w:r>
              <w:t>publish_domain_view failed</w:t>
            </w:r>
          </w:p>
        </w:tc>
        <w:tc>
          <w:tcPr>
            <w:tcW w:type="dxa" w:w="3312"/>
          </w:tcPr>
          <w:p>
            <w:r>
              <w:t>Concurrent writes to shared DV table</w:t>
            </w:r>
          </w:p>
        </w:tc>
        <w:tc>
          <w:tcPr>
            <w:tcW w:type="dxa" w:w="3312"/>
          </w:tcPr>
          <w:p>
            <w:r>
              <w:t>Identify overlapping violation DAGs; consider approved failed-step rerun after conflict clears.</w:t>
            </w:r>
          </w:p>
        </w:tc>
      </w:tr>
    </w:tbl>
    <w:p/>
    <w:p>
      <w:pPr>
        <w:pStyle w:val="Heading1"/>
      </w:pPr>
      <w:r>
        <w:t>9. Restart and recovery decision tree</w:t>
      </w:r>
    </w:p>
    <w:p>
      <w:r>
        <w:t>MDD UI One-Click Operation offers two restart patterns demonstrated in KT. Always identify the root cause and obtain approval where required.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Situation</w:t>
            </w:r>
          </w:p>
        </w:tc>
        <w:tc>
          <w:tcPr>
            <w:tcW w:type="dxa" w:w="3312"/>
          </w:tcPr>
          <w:p>
            <w:r>
              <w:t>Recovery choice</w:t>
            </w:r>
          </w:p>
        </w:tc>
        <w:tc>
          <w:tcPr>
            <w:tcW w:type="dxa" w:w="3312"/>
          </w:tcPr>
          <w:p>
            <w:r>
              <w:t>Reason</w:t>
            </w:r>
          </w:p>
        </w:tc>
      </w:tr>
      <w:tr>
        <w:tc>
          <w:tcPr>
            <w:tcW w:type="dxa" w:w="3312"/>
          </w:tcPr>
          <w:p>
            <w:r>
              <w:t>Transient Dataproc/cluster problem; no config change</w:t>
            </w:r>
          </w:p>
        </w:tc>
        <w:tc>
          <w:tcPr>
            <w:tcW w:type="dxa" w:w="3312"/>
          </w:tcPr>
          <w:p>
            <w:r>
              <w:t>Restart from failed step (if authorized)</w:t>
            </w:r>
          </w:p>
        </w:tc>
        <w:tc>
          <w:tcPr>
            <w:tcW w:type="dxa" w:w="3312"/>
          </w:tcPr>
          <w:p>
            <w:r>
              <w:t>Re-executes failed processing using existing generated configuration.</w:t>
            </w:r>
          </w:p>
        </w:tc>
      </w:tr>
      <w:tr>
        <w:tc>
          <w:tcPr>
            <w:tcW w:type="dxa" w:w="3312"/>
          </w:tcPr>
          <w:p>
            <w:r>
              <w:t>Datatype, mapping, or other MDD UI configuration corrected</w:t>
            </w:r>
          </w:p>
        </w:tc>
        <w:tc>
          <w:tcPr>
            <w:tcW w:type="dxa" w:w="3312"/>
          </w:tcPr>
          <w:p>
            <w:r>
              <w:t>Workflow Refresh → Restart from previous/upstream config-generation step</w:t>
            </w:r>
          </w:p>
        </w:tc>
        <w:tc>
          <w:tcPr>
            <w:tcW w:type="dxa" w:w="3312"/>
          </w:tcPr>
          <w:p>
            <w:r>
              <w:t>Updated settings must be materialized in a newly generated batch config before engine processing.</w:t>
            </w:r>
          </w:p>
        </w:tc>
      </w:tr>
      <w:tr>
        <w:tc>
          <w:tcPr>
            <w:tcW w:type="dxa" w:w="3312"/>
          </w:tcPr>
          <w:p>
            <w:r>
              <w:t>Concurrent Domain View update conflict</w:t>
            </w:r>
          </w:p>
        </w:tc>
        <w:tc>
          <w:tcPr>
            <w:tcW w:type="dxa" w:w="3312"/>
          </w:tcPr>
          <w:p>
            <w:r>
              <w:t>Wait until competing update completes; authorized failed-step rerun</w:t>
            </w:r>
          </w:p>
        </w:tc>
        <w:tc>
          <w:tcPr>
            <w:tcW w:type="dxa" w:w="3312"/>
          </w:tcPr>
          <w:p>
            <w:r>
              <w:t>Conflict may clear without data/config changes.</w:t>
            </w:r>
          </w:p>
        </w:tc>
      </w:tr>
      <w:tr>
        <w:tc>
          <w:tcPr>
            <w:tcW w:type="dxa" w:w="3312"/>
          </w:tcPr>
          <w:p>
            <w:r>
              <w:t>GBS response still missing</w:t>
            </w:r>
          </w:p>
        </w:tc>
        <w:tc>
          <w:tcPr>
            <w:tcW w:type="dxa" w:w="3312"/>
          </w:tcPr>
          <w:p>
            <w:r>
              <w:t>Do not blindly rerun; confirm response path and GBS processing</w:t>
            </w:r>
          </w:p>
        </w:tc>
        <w:tc>
          <w:tcPr>
            <w:tcW w:type="dxa" w:w="3312"/>
          </w:tcPr>
          <w:p>
            <w:r>
              <w:t>Rerun cannot create an external response that was never produced.</w:t>
            </w:r>
          </w:p>
        </w:tc>
      </w:tr>
    </w:tbl>
    <w:p/>
    <w:p>
      <w:pPr>
        <w:pStyle w:val="Heading2"/>
      </w:pPr>
      <w:r>
        <w:t>9.1 Recovery procedure in One-Click Operation</w:t>
      </w:r>
    </w:p>
    <w:p>
      <w:pPr>
        <w:pStyle w:val="ListNumber"/>
      </w:pPr>
      <w:r>
        <w:t>Locate the failed source, batch and job in One-Click Operation.</w:t>
      </w:r>
    </w:p>
    <w:p>
      <w:pPr>
        <w:pStyle w:val="ListNumber"/>
      </w:pPr>
      <w:r>
        <w:t>Identify the failed subprocess and confirm the precise root cause in Airflow logs.</w:t>
      </w:r>
    </w:p>
    <w:p>
      <w:pPr>
        <w:pStyle w:val="ListNumber"/>
      </w:pPr>
      <w:r>
        <w:t>Determine whether configuration changed and whether an upstream config-generation step must be rerun.</w:t>
      </w:r>
    </w:p>
    <w:p>
      <w:pPr>
        <w:pStyle w:val="ListNumber"/>
      </w:pPr>
      <w:r>
        <w:t>If configuration changed, perform approved MDD UI edits and Manage Workflow → Workflow Refresh.</w:t>
      </w:r>
    </w:p>
    <w:p>
      <w:pPr>
        <w:pStyle w:val="ListNumber"/>
      </w:pPr>
      <w:r>
        <w:t>Choose Restart from Failed Step or Restart from Previous Step as appropriate; select the correct step (e.g., create_batch_config when updated batch config is required).</w:t>
      </w:r>
    </w:p>
    <w:p>
      <w:pPr>
        <w:pStyle w:val="ListNumber"/>
      </w:pPr>
      <w:r>
        <w:t>Follow team approval and operational controls before submitting the restart.</w:t>
      </w:r>
    </w:p>
    <w:p>
      <w:pPr>
        <w:pStyle w:val="ListNumber"/>
      </w:pPr>
      <w:r>
        <w:t>Track the restarted Airflow run through completion.</w:t>
      </w:r>
    </w:p>
    <w:p>
      <w:pPr>
        <w:pStyle w:val="ListNumber"/>
      </w:pPr>
      <w:r>
        <w:t>Verify counts, match outcomes, Domain View publication and consumer impact as applicable; update incident/monitoring notes.</w:t>
      </w:r>
    </w:p>
    <w:p>
      <w:pPr>
        <w:pStyle w:val="Heading1"/>
      </w:pPr>
      <w:r>
        <w:t>10. Special scenario: shared Violation Domain View</w:t>
      </w:r>
    </w:p>
    <w:p>
      <w:r>
        <w:t>Multiple violation-source DAGs can publish to a common DV_VIOLATION table. Simultaneous updates may cause a concurrent update conflict for one source. The KT described a rerun of the failed publishing step after the other update finishes as a common resolution. Verify the error and overlapping runs before recovery.</w:t>
      </w:r>
    </w:p>
    <w:p>
      <w:pPr>
        <w:pStyle w:val="Heading1"/>
      </w:pPr>
      <w:r>
        <w:t>11. Monitoring log template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What to record</w:t>
            </w:r>
          </w:p>
        </w:tc>
      </w:tr>
      <w:tr>
        <w:tc>
          <w:tcPr>
            <w:tcW w:type="dxa" w:w="4968"/>
          </w:tcPr>
          <w:p>
            <w:r>
              <w:t>Environment</w:t>
            </w:r>
          </w:p>
        </w:tc>
        <w:tc>
          <w:tcPr>
            <w:tcW w:type="dxa" w:w="4968"/>
          </w:tcPr>
          <w:p>
            <w:r>
              <w:t>Production / Staging</w:t>
            </w:r>
          </w:p>
        </w:tc>
      </w:tr>
      <w:tr>
        <w:tc>
          <w:tcPr>
            <w:tcW w:type="dxa" w:w="4968"/>
          </w:tcPr>
          <w:p>
            <w:r>
              <w:t>Source and frequency</w:t>
            </w:r>
          </w:p>
        </w:tc>
        <w:tc>
          <w:tcPr>
            <w:tcW w:type="dxa" w:w="4968"/>
          </w:tcPr>
          <w:p>
            <w:r>
              <w:t>e.g., Exclusion / daily</w:t>
            </w:r>
          </w:p>
        </w:tc>
      </w:tr>
      <w:tr>
        <w:tc>
          <w:tcPr>
            <w:tcW w:type="dxa" w:w="4968"/>
          </w:tcPr>
          <w:p>
            <w:r>
              <w:t>Expected date and run ID</w:t>
            </w:r>
          </w:p>
        </w:tc>
        <w:tc>
          <w:tcPr>
            <w:tcW w:type="dxa" w:w="4968"/>
          </w:tcPr>
          <w:p>
            <w:r>
              <w:t>Processing date, DAG run timestamp</w:t>
            </w:r>
          </w:p>
        </w:tc>
      </w:tr>
      <w:tr>
        <w:tc>
          <w:tcPr>
            <w:tcW w:type="dxa" w:w="4968"/>
          </w:tcPr>
          <w:p>
            <w:r>
              <w:t>Batch ID</w:t>
            </w:r>
          </w:p>
        </w:tc>
        <w:tc>
          <w:tcPr>
            <w:tcW w:type="dxa" w:w="4968"/>
          </w:tcPr>
          <w:p>
            <w:r>
              <w:t>Exact batch identifier</w:t>
            </w:r>
          </w:p>
        </w:tc>
      </w:tr>
      <w:tr>
        <w:tc>
          <w:tcPr>
            <w:tcW w:type="dxa" w:w="4968"/>
          </w:tcPr>
          <w:p>
            <w:r>
              <w:t>Job and task status</w:t>
            </w:r>
          </w:p>
        </w:tc>
        <w:tc>
          <w:tcPr>
            <w:tcW w:type="dxa" w:w="4968"/>
          </w:tcPr>
          <w:p>
            <w:r>
              <w:t>Success / Failed / Running / Not triggered</w:t>
            </w:r>
          </w:p>
        </w:tc>
      </w:tr>
      <w:tr>
        <w:tc>
          <w:tcPr>
            <w:tcW w:type="dxa" w:w="4968"/>
          </w:tcPr>
          <w:p>
            <w:r>
              <w:t>Record counts</w:t>
            </w:r>
          </w:p>
        </w:tc>
        <w:tc>
          <w:tcPr>
            <w:tcW w:type="dxa" w:w="4968"/>
          </w:tcPr>
          <w:p>
            <w:r>
              <w:t>Input/output/discarded/deleted/qualified, as relevant</w:t>
            </w:r>
          </w:p>
        </w:tc>
      </w:tr>
      <w:tr>
        <w:tc>
          <w:tcPr>
            <w:tcW w:type="dxa" w:w="4968"/>
          </w:tcPr>
          <w:p>
            <w:r>
              <w:t>Failure evidence</w:t>
            </w:r>
          </w:p>
        </w:tc>
        <w:tc>
          <w:tcPr>
            <w:tcW w:type="dxa" w:w="4968"/>
          </w:tcPr>
          <w:p>
            <w:r>
              <w:t>Failed step, error message, log link</w:t>
            </w:r>
          </w:p>
        </w:tc>
      </w:tr>
      <w:tr>
        <w:tc>
          <w:tcPr>
            <w:tcW w:type="dxa" w:w="4968"/>
          </w:tcPr>
          <w:p>
            <w:r>
              <w:t>Root cause / impact</w:t>
            </w:r>
          </w:p>
        </w:tc>
        <w:tc>
          <w:tcPr>
            <w:tcW w:type="dxa" w:w="4968"/>
          </w:tcPr>
          <w:p>
            <w:r>
              <w:t>Confirmed or suspected; downstream effect</w:t>
            </w:r>
          </w:p>
        </w:tc>
      </w:tr>
      <w:tr>
        <w:tc>
          <w:tcPr>
            <w:tcW w:type="dxa" w:w="4968"/>
          </w:tcPr>
          <w:p>
            <w:r>
              <w:t>Action / owner</w:t>
            </w:r>
          </w:p>
        </w:tc>
        <w:tc>
          <w:tcPr>
            <w:tcW w:type="dxa" w:w="4968"/>
          </w:tcPr>
          <w:p>
            <w:r>
              <w:t>Investigation, escalation, approved rerun</w:t>
            </w:r>
          </w:p>
        </w:tc>
      </w:tr>
      <w:tr>
        <w:tc>
          <w:tcPr>
            <w:tcW w:type="dxa" w:w="4968"/>
          </w:tcPr>
          <w:p>
            <w:r>
              <w:t>Final validation</w:t>
            </w:r>
          </w:p>
        </w:tc>
        <w:tc>
          <w:tcPr>
            <w:tcW w:type="dxa" w:w="4968"/>
          </w:tcPr>
          <w:p>
            <w:r>
              <w:t>New run result, counts, DV/consumer status</w:t>
            </w:r>
          </w:p>
        </w:tc>
      </w:tr>
    </w:tbl>
    <w:p/>
    <w:p>
      <w:pPr>
        <w:pStyle w:val="Heading1"/>
      </w:pPr>
      <w:r>
        <w:t>12. Reverse KT: suggested 8–10 minute walkthrough</w:t>
      </w:r>
    </w:p>
    <w:p>
      <w:pPr>
        <w:pStyle w:val="ListNumber"/>
      </w:pPr>
      <w:r>
        <w:t>Explain architecture from Government feed to downstream consumer (1 minute).</w:t>
      </w:r>
    </w:p>
    <w:p>
      <w:pPr>
        <w:pStyle w:val="ListNumber"/>
      </w:pPr>
      <w:r>
        <w:t>Show MDD UI Source configuration and why Workflow Refresh matters (1 minute).</w:t>
      </w:r>
    </w:p>
    <w:p>
      <w:pPr>
        <w:pStyle w:val="ListNumber"/>
      </w:pPr>
      <w:r>
        <w:t>Open One-Click Operation: select source, batch, counts and subprocess status (2 minutes).</w:t>
      </w:r>
    </w:p>
    <w:p>
      <w:pPr>
        <w:pStyle w:val="ListNumber"/>
      </w:pPr>
      <w:r>
        <w:t>Open matching Airflow DAG: Grid/Graph, task logs, error investigation (2 minutes).</w:t>
      </w:r>
    </w:p>
    <w:p>
      <w:pPr>
        <w:pStyle w:val="ListNumber"/>
      </w:pPr>
      <w:r>
        <w:t>Describe GBS matching, Entity Resolution and periodic rematch (1 minute).</w:t>
      </w:r>
    </w:p>
    <w:p>
      <w:pPr>
        <w:pStyle w:val="ListNumber"/>
      </w:pPr>
      <w:r>
        <w:t>Explain 3 common failures: regex, Dataproc/config, concurrent Domain View update (1–2 minutes).</w:t>
      </w:r>
    </w:p>
    <w:p>
      <w:pPr>
        <w:pStyle w:val="ListNumber"/>
      </w:pPr>
      <w:r>
        <w:t>Explain failed-step vs previous-step restart and Production approval precautions (1 minute).</w:t>
      </w:r>
    </w:p>
    <w:p>
      <w:pPr>
        <w:pStyle w:val="Heading1"/>
      </w:pPr>
      <w:r>
        <w:t>13. Questions to ask during reverse KT</w:t>
      </w:r>
    </w:p>
    <w:p>
      <w:pPr>
        <w:pStyle w:val="ListBullet"/>
      </w:pPr>
      <w:r>
        <w:t>What is the authoritative daily source list and schedule for Production and Staging?</w:t>
      </w:r>
    </w:p>
    <w:p>
      <w:pPr>
        <w:pStyle w:val="ListBullet"/>
      </w:pPr>
      <w:r>
        <w:t>Which exact MDD UI menu shows Production Job Monitor, and what date filter is used?</w:t>
      </w:r>
    </w:p>
    <w:p>
      <w:pPr>
        <w:pStyle w:val="ListBullet"/>
      </w:pPr>
      <w:r>
        <w:t>What are the precise PUT/GET request and response bucket paths for each environment?</w:t>
      </w:r>
    </w:p>
    <w:p>
      <w:pPr>
        <w:pStyle w:val="ListBullet"/>
      </w:pPr>
      <w:r>
        <w:t>What is the full form and downstream behavior of TNS notification?</w:t>
      </w:r>
    </w:p>
    <w:p>
      <w:pPr>
        <w:pStyle w:val="ListBullet"/>
      </w:pPr>
      <w:r>
        <w:t>What are the approved permissions/approval steps for Production restarts?</w:t>
      </w:r>
    </w:p>
    <w:p>
      <w:pPr>
        <w:pStyle w:val="ListBullet"/>
      </w:pPr>
      <w:r>
        <w:t>How are source-specific expected count thresholds and no-change runs defined?</w:t>
      </w:r>
    </w:p>
    <w:p>
      <w:pPr>
        <w:pStyle w:val="ListBullet"/>
      </w:pPr>
      <w:r>
        <w:t>Who owns GBS escalations, Dataproc failures, and domain publishing incidents?</w:t>
      </w:r>
    </w:p>
    <w:p>
      <w:pPr>
        <w:pStyle w:val="Heading1"/>
      </w:pPr>
      <w:r>
        <w:t>14. Quick-reference: 60-second monitoring routine</w:t>
      </w:r>
    </w:p>
    <w:p>
      <w:r>
        <w:t>Environment → expected source/date → One-Click Operation → batch/status/counts → Airflow exact run → failed task/logs if needed → GCS/BigQuery cross-check → impact/owner/action → monitoring report.</w:t>
      </w:r>
    </w:p>
    <w:p>
      <w:r>
        <w:t>Document scope: Based on the recorded KT discussion and project notes; it does not claim that any live Production or Staging monitoring has already been completed.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Government Data Platform | Monitoring Runbook | Internal working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D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3D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3D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