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4B5"/>
          <w:sz w:val="52"/>
          <w:szCs w:val="52"/>
        </w:rPr>
        <w:t xml:space="preserve">The Deal Room</w:t>
      </w:r>
    </w:p>
    <w:p>
      <w:pPr>
        <w:spacing w:after="40"/>
        <w:jc w:val="center"/>
      </w:pPr>
      <w:r>
        <w:rPr>
          <w:color w:val="555555"/>
          <w:sz w:val="26"/>
          <w:szCs w:val="26"/>
        </w:rPr>
        <w:t xml:space="preserve">What we built — explained for someone brand-new to this world</w:t>
      </w:r>
    </w:p>
    <w:p>
      <w:pPr>
        <w:spacing w:after="240"/>
        <w:jc w:val="center"/>
      </w:pPr>
      <w:r>
        <w:rPr>
          <w:i/>
          <w:iCs/>
          <w:color w:val="555555"/>
          <w:sz w:val="20"/>
          <w:szCs w:val="20"/>
        </w:rPr>
        <w:t xml:space="preserve">No prior knowledge assumed · every bit of jargon explained</w:t>
      </w:r>
    </w:p>
    <w:p>
      <w:pPr>
        <w:pStyle w:val="Heading1"/>
        <w:spacing w:after="120" w:before="260"/>
      </w:pPr>
      <w:r>
        <w:rPr>
          <w:b/>
          <w:bCs/>
          <w:color w:val="2E74B5"/>
        </w:rPr>
        <w:t xml:space="preserve">1. Start here: what is a "private equity firm"?</w:t>
      </w:r>
    </w:p>
    <w:p>
      <w:pPr>
        <w:spacing w:after="120"/>
      </w:pPr>
      <w:r>
        <w:t xml:space="preserve">Imagine a company that does this for a living:</w:t>
      </w:r>
    </w:p>
    <w:p>
      <w:pPr>
        <w:pStyle w:val="ListParagraph"/>
        <w:numPr>
          <w:ilvl w:val="0"/>
          <w:numId w:val="1"/>
        </w:numPr>
        <w:spacing w:after="60"/>
      </w:pPr>
      <w:r>
        <w:rPr>
          <w:b/>
          <w:bCs/>
        </w:rPr>
        <w:t xml:space="preserve">Raises a big pot of money </w:t>
      </w:r>
      <w:r>
        <w:t xml:space="preserve">from large investors — pension funds, universities, wealthy families — who are looking for a strong return on their money.</w:t>
      </w:r>
    </w:p>
    <w:p>
      <w:pPr>
        <w:pStyle w:val="ListParagraph"/>
        <w:numPr>
          <w:ilvl w:val="0"/>
          <w:numId w:val="1"/>
        </w:numPr>
        <w:spacing w:after="60"/>
      </w:pPr>
      <w:r>
        <w:rPr>
          <w:b/>
          <w:bCs/>
        </w:rPr>
        <w:t xml:space="preserve">Uses that money to buy whole companies </w:t>
      </w:r>
      <w:r>
        <w:t xml:space="preserve"> (or big stakes in them) — often private companies you can’t buy shares of on the stock market.</w:t>
      </w:r>
    </w:p>
    <w:p>
      <w:pPr>
        <w:pStyle w:val="ListParagraph"/>
        <w:numPr>
          <w:ilvl w:val="0"/>
          <w:numId w:val="1"/>
        </w:numPr>
        <w:spacing w:after="60"/>
      </w:pPr>
      <w:r>
        <w:rPr>
          <w:b/>
          <w:bCs/>
        </w:rPr>
        <w:t xml:space="preserve">Improves those companies </w:t>
      </w:r>
      <w:r>
        <w:t xml:space="preserve"> over a few years — growing sales, cutting waste, upgrading the business.</w:t>
      </w:r>
    </w:p>
    <w:p>
      <w:pPr>
        <w:pStyle w:val="ListParagraph"/>
        <w:numPr>
          <w:ilvl w:val="0"/>
          <w:numId w:val="1"/>
        </w:numPr>
        <w:spacing w:after="60"/>
      </w:pPr>
      <w:r>
        <w:rPr>
          <w:b/>
          <w:bCs/>
        </w:rPr>
        <w:t xml:space="preserve">Sells them again </w:t>
      </w:r>
      <w:r>
        <w:t xml:space="preserve"> for more than it paid — and returns the profit to those original investors, keeping a share.</w:t>
      </w:r>
    </w:p>
    <w:p>
      <w:pPr>
        <w:spacing w:after="120"/>
      </w:pPr>
      <w:r>
        <w:t xml:space="preserve">That kind of firm is called a private equity firm (often shortened to “PE”). Buying, improving, and selling a company is called a deal. A PE firm may be working on dozens of possible deals at once, and only a few will ever happen.</w:t>
      </w:r>
    </w:p>
    <w:p>
      <w:pPr>
        <w:spacing w:after="120"/>
      </w:pPr>
      <w:r>
        <w:t xml:space="preserve">The people at the firm are a small, senior, very busy team. Their scarcest resource is their own time and attention. Every hour spent on a company that won’t work out is an hour not spent on one that will.</w:t>
      </w:r>
    </w:p>
    <w:p>
      <w:pPr>
        <w:pStyle w:val="Heading1"/>
        <w:spacing w:after="120" w:before="260"/>
      </w:pPr>
      <w:r>
        <w:rPr>
          <w:b/>
          <w:bCs/>
          <w:color w:val="2E74B5"/>
        </w:rPr>
        <w:t xml:space="preserve">2. The problem we set out to solve</w:t>
      </w:r>
    </w:p>
    <w:p>
      <w:pPr>
        <w:spacing w:after="120"/>
      </w:pPr>
      <w:r>
        <w:t xml:space="preserve">Today, a deal team’s work is scattered everywhere: spreadsheets on laptops, documents in email, files in shared drives, numbers in different systems, and a lot of knowledge that only lives in people’s heads. When a partner asks “where does this deal stand, and can we trust these numbers?”, someone has to go dig through all of it.</w:t>
      </w:r>
    </w:p>
    <w:p>
      <w:pPr>
        <w:spacing w:after="120"/>
      </w:pPr>
      <w:r>
        <w:t xml:space="preserve">That scattering causes real pain:</w:t>
      </w:r>
    </w:p>
    <w:p>
      <w:pPr>
        <w:pStyle w:val="ListParagraph"/>
        <w:numPr>
          <w:ilvl w:val="0"/>
          <w:numId w:val="1"/>
        </w:numPr>
        <w:spacing w:after="60"/>
      </w:pPr>
      <w:r>
        <w:t xml:space="preserve">Slow answers — nobody has the full picture in one place.</w:t>
      </w:r>
    </w:p>
    <w:p>
      <w:pPr>
        <w:pStyle w:val="ListParagraph"/>
        <w:numPr>
          <w:ilvl w:val="0"/>
          <w:numId w:val="1"/>
        </w:numPr>
        <w:spacing w:after="60"/>
      </w:pPr>
      <w:r>
        <w:t xml:space="preserve">Inconsistent numbers — two people quote two different figures for the same company.</w:t>
      </w:r>
    </w:p>
    <w:p>
      <w:pPr>
        <w:pStyle w:val="ListParagraph"/>
        <w:numPr>
          <w:ilvl w:val="0"/>
          <w:numId w:val="1"/>
        </w:numPr>
        <w:spacing w:after="60"/>
      </w:pPr>
      <w:r>
        <w:t xml:space="preserve">Wasted effort — the team goes deep on companies they should have ruled out early.</w:t>
      </w:r>
    </w:p>
    <w:p>
      <w:pPr>
        <w:pStyle w:val="ListParagraph"/>
        <w:numPr>
          <w:ilvl w:val="0"/>
          <w:numId w:val="1"/>
        </w:numPr>
        <w:spacing w:after="60"/>
      </w:pPr>
      <w:r>
        <w:t xml:space="preserve">Risk — sensitive information ends up in the wrong hands, which for this industry can be a legal problem.</w:t>
      </w:r>
    </w:p>
    <w:p>
      <w:pPr>
        <w:pStyle w:val="Heading1"/>
        <w:spacing w:after="120" w:before="260"/>
      </w:pPr>
      <w:r>
        <w:rPr>
          <w:b/>
          <w:bCs/>
          <w:color w:val="2E74B5"/>
        </w:rPr>
        <w:t xml:space="preserve">3. What we built, in one paragraph</w:t>
      </w:r>
    </w:p>
    <w:p>
      <w:pPr>
        <w:spacing w:after="120"/>
      </w:pPr>
      <w:r>
        <w:t xml:space="preserve">We built </w:t>
      </w:r>
      <w:r>
        <w:rPr>
          <w:b/>
          <w:bCs/>
        </w:rPr>
        <w:t xml:space="preserve">The Deal Room</w:t>
      </w:r>
      <w:r>
        <w:t xml:space="preserve"> — a single, shared workspace where a deal team runs the entire life of a deal, from the first spark of interest all the way through to owning and eventually selling the company. It lives </w:t>
      </w:r>
      <w:r>
        <w:rPr>
          <w:b/>
          <w:bCs/>
        </w:rPr>
        <w:t xml:space="preserve">inside Microsoft Teams</w:t>
      </w:r>
      <w:r>
        <w:t xml:space="preserve"> (the chat-and-collaboration app many companies already use every day), so there’s no new website to learn. You can also </w:t>
      </w:r>
      <w:r>
        <w:rPr>
          <w:b/>
          <w:bCs/>
        </w:rPr>
        <w:t xml:space="preserve">ask it questions in plain language</w:t>
      </w:r>
      <w:r>
        <w:t xml:space="preserve"> — like messaging a very well-informed colleague — and it answers using the deal’s real, up-to-date information. And it makes sure </w:t>
      </w:r>
      <w:r>
        <w:rPr>
          <w:b/>
          <w:bCs/>
        </w:rPr>
        <w:t xml:space="preserve">each person only sees what they’re allowed to see.</w:t>
      </w:r>
    </w:p>
    <w:p>
      <w:pPr>
        <w:pStyle w:val="Heading1"/>
        <w:spacing w:after="120" w:before="260"/>
      </w:pPr>
      <w:r>
        <w:rPr>
          <w:b/>
          <w:bCs/>
          <w:color w:val="2E74B5"/>
        </w:rPr>
        <w:t xml:space="preserve">4. How a deal travels through it (the journey)</w:t>
      </w:r>
    </w:p>
    <w:p>
      <w:pPr>
        <w:spacing w:after="120"/>
      </w:pPr>
      <w:r>
        <w:t xml:space="preserve">A deal moves through a series of stages, like a pipeline. The Deal Room guides the team through each one and does a lot of the heavy lifting along the way.</w:t>
      </w:r>
    </w:p>
    <w:p>
      <w:pPr>
        <w:pStyle w:val="Heading2"/>
        <w:spacing w:after="80" w:before="200"/>
      </w:pPr>
      <w:r>
        <w:rPr>
          <w:b/>
          <w:bCs/>
        </w:rPr>
        <w:t xml:space="preserve">Stage 1 — Sourcing: “which companies are even worth a look?”</w:t>
      </w:r>
    </w:p>
    <w:p>
      <w:pPr>
        <w:spacing w:after="120"/>
      </w:pPr>
      <w:r>
        <w:t xml:space="preserve">The firm is constantly picking up signals about companies — news, a conversation, a filing. The Deal Room helps sift these and flags the handful worth pursuing, so the team spends time on the right ones instead of chasing everything.</w:t>
      </w:r>
    </w:p>
    <w:p>
      <w:pPr>
        <w:pStyle w:val="Heading2"/>
        <w:spacing w:after="80" w:before="200"/>
      </w:pPr>
      <w:r>
        <w:rPr>
          <w:b/>
          <w:bCs/>
        </w:rPr>
        <w:t xml:space="preserve">Stage 2 — Screening: “does this fit what we’re looking for?”</w:t>
      </w:r>
    </w:p>
    <w:p>
      <w:pPr>
        <w:spacing w:after="120"/>
      </w:pPr>
      <w:r>
        <w:t xml:space="preserve">Each promising company is quickly checked against the firm’s rules and preferences (the kind of business, the size, the risk). The goal is to say a fast “no” to poor fits and a confident “let’s dig deeper” to good ones.</w:t>
      </w:r>
    </w:p>
    <w:p>
      <w:pPr>
        <w:pStyle w:val="Heading2"/>
        <w:spacing w:after="80" w:before="200"/>
      </w:pPr>
      <w:r>
        <w:rPr>
          <w:b/>
          <w:bCs/>
        </w:rPr>
        <w:t xml:space="preserve">Stage 3 — Diligence: “do the homework.”</w:t>
      </w:r>
    </w:p>
    <w:p>
      <w:pPr>
        <w:spacing w:after="120"/>
      </w:pPr>
      <w:r>
        <w:t xml:space="preserve">If a company passes, the team investigates it thoroughly — the finances, the market, the technology, the operations, the legal side. This deep investigation is called </w:t>
      </w:r>
      <w:r>
        <w:rPr>
          <w:b/>
          <w:bCs/>
        </w:rPr>
        <w:t xml:space="preserve">due diligence</w:t>
      </w:r>
      <w:r>
        <w:t xml:space="preserve"> (or just “diligence”). Different specialists dig into different areas at the same time. The Deal Room keeps every finding in one place, colour-coded by how it’s going (green = fine, amber = watch, red = problem), so everyone can see the true state at a glance.</w:t>
      </w:r>
    </w:p>
    <w:p>
      <w:pPr>
        <w:pStyle w:val="Heading2"/>
        <w:spacing w:after="80" w:before="200"/>
      </w:pPr>
      <w:r>
        <w:rPr>
          <w:b/>
          <w:bCs/>
        </w:rPr>
        <w:t xml:space="preserve">Stage 4 — The decision: “should we actually buy it?”</w:t>
      </w:r>
    </w:p>
    <w:p>
      <w:pPr>
        <w:spacing w:after="120"/>
      </w:pPr>
      <w:r>
        <w:t xml:space="preserve">The firm has a group of senior people who make the final yes/no call — the </w:t>
      </w:r>
      <w:r>
        <w:rPr>
          <w:b/>
          <w:bCs/>
        </w:rPr>
        <w:t xml:space="preserve">Investment Committee</w:t>
      </w:r>
      <w:r>
        <w:t xml:space="preserve"> (“IC”). Before that meeting, the team prepares the key documents: a projection of how much money the deal could make, the plan to improve the company, and the main risks. The Deal Room drafts these from the deal’s real numbers and gives a clear verdict — </w:t>
      </w:r>
      <w:r>
        <w:rPr>
          <w:b/>
          <w:bCs/>
        </w:rPr>
        <w:t xml:space="preserve">Ready, Conditional, or Not-Ready</w:t>
      </w:r>
      <w:r>
        <w:t xml:space="preserve"> — plus the top things still blocking approval.</w:t>
      </w:r>
    </w:p>
    <w:p>
      <w:pPr>
        <w:pStyle w:val="Heading2"/>
        <w:spacing w:after="80" w:before="200"/>
      </w:pPr>
      <w:r>
        <w:rPr>
          <w:b/>
          <w:bCs/>
        </w:rPr>
        <w:t xml:space="preserve">Stage 5 — Owning it: “now make it better.”</w:t>
      </w:r>
    </w:p>
    <w:p>
      <w:pPr>
        <w:spacing w:after="120"/>
      </w:pPr>
      <w:r>
        <w:t xml:space="preserve">Once the firm buys the company, the job shifts to improving it — following a plan (often called the “100-day plan” for the first stretch), tracking how the business is actually performing versus what was promised, and reporting back to the investors. The Deal Room keeps monitoring the company and flags any that are falling behind, honestly — it surfaces problems rather than hiding them.</w:t>
      </w:r>
    </w:p>
    <w:p>
      <w:pPr>
        <w:pStyle w:val="Heading2"/>
        <w:spacing w:after="80" w:before="200"/>
      </w:pPr>
      <w:r>
        <w:rPr>
          <w:b/>
          <w:bCs/>
        </w:rPr>
        <w:t xml:space="preserve">Stage 6 — Exit: “sell it well.”</w:t>
      </w:r>
    </w:p>
    <w:p>
      <w:pPr>
        <w:spacing w:after="120"/>
      </w:pPr>
      <w:r>
        <w:t xml:space="preserve">Eventually the firm sells the company — called the exit — aiming for the best price and timing so the original investors get a strong return. The Deal Room helps assess when and how to sell and prepares the materials for it.</w:t>
      </w:r>
    </w:p>
    <w:p>
      <w:pPr>
        <w:pStyle w:val="Heading1"/>
        <w:spacing w:after="120" w:before="260"/>
      </w:pPr>
      <w:r>
        <w:rPr>
          <w:b/>
          <w:bCs/>
          <w:color w:val="2E74B5"/>
        </w:rPr>
        <w:t xml:space="preserve">5. The helpful things it does for the team</w:t>
      </w:r>
    </w:p>
    <w:p>
      <w:pPr>
        <w:pStyle w:val="ListParagraph"/>
        <w:numPr>
          <w:ilvl w:val="0"/>
          <w:numId w:val="1"/>
        </w:numPr>
        <w:spacing w:after="60"/>
      </w:pPr>
      <w:r>
        <w:rPr>
          <w:b/>
          <w:bCs/>
        </w:rPr>
        <w:t xml:space="preserve">Answers questions in plain language. </w:t>
      </w:r>
      <w:r>
        <w:t xml:space="preserve">Anyone can ask “what’s the case for this deal?” or “what’s holding it up?” and get a clear answer built from the deal’s real information — with the sources shown, so it can be trusted.</w:t>
      </w:r>
    </w:p>
    <w:p>
      <w:pPr>
        <w:pStyle w:val="ListParagraph"/>
        <w:numPr>
          <w:ilvl w:val="0"/>
          <w:numId w:val="1"/>
        </w:numPr>
        <w:spacing w:after="60"/>
      </w:pPr>
      <w:r>
        <w:rPr>
          <w:b/>
          <w:bCs/>
        </w:rPr>
        <w:t xml:space="preserve">Gives every deal its own private home. </w:t>
      </w:r>
      <w:r>
        <w:t xml:space="preserve">The moment a deal is live, it automatically gets its own chat space and a secure folder for its documents — no setup, no IT ticket.</w:t>
      </w:r>
    </w:p>
    <w:p>
      <w:pPr>
        <w:pStyle w:val="ListParagraph"/>
        <w:numPr>
          <w:ilvl w:val="0"/>
          <w:numId w:val="1"/>
        </w:numPr>
        <w:spacing w:after="60"/>
      </w:pPr>
      <w:r>
        <w:rPr>
          <w:b/>
          <w:bCs/>
        </w:rPr>
        <w:t xml:space="preserve">Writes the first draft of key documents. </w:t>
      </w:r>
      <w:r>
        <w:t xml:space="preserve">The memos, financial models and slide decks a deal needs are drafted automatically from the live numbers, so people start from something rather than a blank page.</w:t>
      </w:r>
    </w:p>
    <w:p>
      <w:pPr>
        <w:pStyle w:val="ListParagraph"/>
        <w:numPr>
          <w:ilvl w:val="0"/>
          <w:numId w:val="1"/>
        </w:numPr>
        <w:spacing w:after="60"/>
      </w:pPr>
      <w:r>
        <w:rPr>
          <w:b/>
          <w:bCs/>
        </w:rPr>
        <w:t xml:space="preserve">Suggests the next step — but never acts on its own. </w:t>
      </w:r>
      <w:r>
        <w:t xml:space="preserve">It can propose an action (“log this as an issue,” “mark this resolved”), and a person clicks to approve. Every approved change is recorded with who did it and when — a clean trail.</w:t>
      </w:r>
    </w:p>
    <w:p>
      <w:pPr>
        <w:pStyle w:val="ListParagraph"/>
        <w:numPr>
          <w:ilvl w:val="0"/>
          <w:numId w:val="1"/>
        </w:numPr>
        <w:spacing w:after="60"/>
      </w:pPr>
      <w:r>
        <w:rPr>
          <w:b/>
          <w:bCs/>
        </w:rPr>
        <w:t xml:space="preserve">Keeps one honest set of numbers. </w:t>
      </w:r>
      <w:r>
        <w:t xml:space="preserve">Everyone — the chat, the dashboards, and the reports — reads from the same live record, so there’s never a “which version is right?” argument.</w:t>
      </w:r>
    </w:p>
    <w:p>
      <w:pPr>
        <w:pStyle w:val="ListParagraph"/>
        <w:numPr>
          <w:ilvl w:val="0"/>
          <w:numId w:val="1"/>
        </w:numPr>
        <w:spacing w:after="60"/>
      </w:pPr>
      <w:r>
        <w:rPr>
          <w:b/>
          <w:bCs/>
        </w:rPr>
        <w:t xml:space="preserve">Works on real public data out of the box. </w:t>
      </w:r>
      <w:r>
        <w:t xml:space="preserve">It can pull genuine, public company and market information for free, so it’s useful immediately without buying expensive data subscriptions first.</w:t>
      </w:r>
    </w:p>
    <w:p>
      <w:pPr>
        <w:pStyle w:val="Heading1"/>
        <w:spacing w:after="120" w:before="260"/>
      </w:pPr>
      <w:r>
        <w:rPr>
          <w:b/>
          <w:bCs/>
          <w:color w:val="2E74B5"/>
        </w:rPr>
        <w:t xml:space="preserve">6. Who uses it</w:t>
      </w:r>
    </w:p>
    <w:p>
      <w:pPr>
        <w:spacing w:after="120"/>
      </w:pPr>
      <w:r>
        <w:t xml:space="preserve">Different people at the firm have different jobs and see different things:</w:t>
      </w:r>
    </w:p>
    <w:p>
      <w:pPr>
        <w:pStyle w:val="ListParagraph"/>
        <w:numPr>
          <w:ilvl w:val="0"/>
          <w:numId w:val="1"/>
        </w:numPr>
        <w:spacing w:after="60"/>
      </w:pPr>
      <w:r>
        <w:rPr>
          <w:b/>
          <w:bCs/>
        </w:rPr>
        <w:t xml:space="preserve">Analyst — </w:t>
      </w:r>
      <w:r>
        <w:t xml:space="preserve">the most junior researcher; does the digging and modelling, usually can only see the deals they’re assigned to.</w:t>
      </w:r>
    </w:p>
    <w:p>
      <w:pPr>
        <w:pStyle w:val="ListParagraph"/>
        <w:numPr>
          <w:ilvl w:val="0"/>
          <w:numId w:val="1"/>
        </w:numPr>
        <w:spacing w:after="60"/>
      </w:pPr>
      <w:r>
        <w:rPr>
          <w:b/>
          <w:bCs/>
        </w:rPr>
        <w:t xml:space="preserve">Sector specialists — </w:t>
      </w:r>
      <w:r>
        <w:t xml:space="preserve">experts in a particular industry or area (for example, technology, or operations) who investigate their piece of a deal.</w:t>
      </w:r>
    </w:p>
    <w:p>
      <w:pPr>
        <w:pStyle w:val="ListParagraph"/>
        <w:numPr>
          <w:ilvl w:val="0"/>
          <w:numId w:val="1"/>
        </w:numPr>
        <w:spacing w:after="60"/>
      </w:pPr>
      <w:r>
        <w:rPr>
          <w:b/>
          <w:bCs/>
        </w:rPr>
        <w:t xml:space="preserve">Partner — </w:t>
      </w:r>
      <w:r>
        <w:t xml:space="preserve">a senior leader who sponsors a deal and helps make the final call.</w:t>
      </w:r>
    </w:p>
    <w:p>
      <w:pPr>
        <w:pStyle w:val="ListParagraph"/>
        <w:numPr>
          <w:ilvl w:val="0"/>
          <w:numId w:val="1"/>
        </w:numPr>
        <w:spacing w:after="60"/>
      </w:pPr>
      <w:r>
        <w:rPr>
          <w:b/>
          <w:bCs/>
        </w:rPr>
        <w:t xml:space="preserve">Finance and legal leads — </w:t>
      </w:r>
      <w:r>
        <w:t xml:space="preserve">who handle the money structure and the contracts.</w:t>
      </w:r>
    </w:p>
    <w:p>
      <w:pPr>
        <w:pStyle w:val="ListParagraph"/>
        <w:numPr>
          <w:ilvl w:val="0"/>
          <w:numId w:val="1"/>
        </w:numPr>
        <w:spacing w:after="60"/>
      </w:pPr>
      <w:r>
        <w:rPr>
          <w:b/>
          <w:bCs/>
        </w:rPr>
        <w:t xml:space="preserve">Investor relations — </w:t>
      </w:r>
      <w:r>
        <w:t xml:space="preserve">the person who reports results back to the outside investors.</w:t>
      </w:r>
    </w:p>
    <w:p>
      <w:pPr>
        <w:spacing w:after="120"/>
      </w:pPr>
      <w:r>
        <w:t xml:space="preserve">The Deal Room even provides an AI “specialist” for each of these jobs, so asking a question feels like consulting the right expert — without needing that busy human free at that moment.</w:t>
      </w:r>
    </w:p>
    <w:p>
      <w:pPr>
        <w:pStyle w:val="Heading1"/>
        <w:spacing w:after="120" w:before="260"/>
      </w:pPr>
      <w:r>
        <w:rPr>
          <w:b/>
          <w:bCs/>
          <w:color w:val="2E74B5"/>
        </w:rPr>
        <w:t xml:space="preserve">7. How it keeps sensitive information safe</w:t>
      </w:r>
    </w:p>
    <w:p>
      <w:pPr>
        <w:spacing w:after="120"/>
      </w:pPr>
      <w:r>
        <w:t xml:space="preserve">This industry is legally required to control who sees what. Knowing confidential information about a company and misusing it is a serious offence, so “need-to-know” isn’t a nicety — it’s the law.</w:t>
      </w:r>
    </w:p>
    <w:p>
      <w:pPr>
        <w:pStyle w:val="ListParagraph"/>
        <w:numPr>
          <w:ilvl w:val="0"/>
          <w:numId w:val="1"/>
        </w:numPr>
        <w:spacing w:after="60"/>
      </w:pPr>
      <w:r>
        <w:rPr>
          <w:b/>
          <w:bCs/>
        </w:rPr>
        <w:t xml:space="preserve">You only see what your role allows. </w:t>
      </w:r>
      <w:r>
        <w:t xml:space="preserve">A junior analyst can’t see a confidential deal a senior partner is quietly working on. This is decided by the system itself, not something a user can trick or turn off.</w:t>
      </w:r>
    </w:p>
    <w:p>
      <w:pPr>
        <w:pStyle w:val="ListParagraph"/>
        <w:numPr>
          <w:ilvl w:val="0"/>
          <w:numId w:val="1"/>
        </w:numPr>
        <w:spacing w:after="60"/>
      </w:pPr>
      <w:r>
        <w:rPr>
          <w:b/>
          <w:bCs/>
        </w:rPr>
        <w:t xml:space="preserve">Confidential deals can be hidden entirely. </w:t>
      </w:r>
      <w:r>
        <w:t xml:space="preserve">The most sensitive deals simply don’t appear for people who aren’t on them — they can’t even tell the deal exists.</w:t>
      </w:r>
    </w:p>
    <w:p>
      <w:pPr>
        <w:pStyle w:val="ListParagraph"/>
        <w:numPr>
          <w:ilvl w:val="0"/>
          <w:numId w:val="1"/>
        </w:numPr>
        <w:spacing w:after="60"/>
      </w:pPr>
      <w:r>
        <w:rPr>
          <w:b/>
          <w:bCs/>
        </w:rPr>
        <w:t xml:space="preserve">Access can follow region and team. </w:t>
      </w:r>
      <w:r>
        <w:t xml:space="preserve">Someone covering one part of the country sees their deals; a special “clean team” on a sensitive transaction sees only theirs.</w:t>
      </w:r>
    </w:p>
    <w:p>
      <w:pPr>
        <w:pStyle w:val="ListParagraph"/>
        <w:numPr>
          <w:ilvl w:val="0"/>
          <w:numId w:val="1"/>
        </w:numPr>
        <w:spacing w:after="60"/>
      </w:pPr>
      <w:r>
        <w:rPr>
          <w:b/>
          <w:bCs/>
        </w:rPr>
        <w:t xml:space="preserve">The outside-facing tools are walled off from the private ones. </w:t>
      </w:r>
      <w:r>
        <w:t xml:space="preserve">The part that reads public news can never reach into the firm’s confidential documents — that wall is enforced and logged, so nothing leaks across it.</w:t>
      </w:r>
    </w:p>
    <w:p>
      <w:pPr>
        <w:pStyle w:val="Heading1"/>
        <w:spacing w:after="120" w:before="260"/>
      </w:pPr>
      <w:r>
        <w:rPr>
          <w:b/>
          <w:bCs/>
          <w:color w:val="2E74B5"/>
        </w:rPr>
        <w:t xml:space="preserve">8. Where it lives, and why that’s good</w:t>
      </w:r>
    </w:p>
    <w:p>
      <w:pPr>
        <w:pStyle w:val="ListParagraph"/>
        <w:numPr>
          <w:ilvl w:val="0"/>
          <w:numId w:val="1"/>
        </w:numPr>
        <w:spacing w:after="60"/>
      </w:pPr>
      <w:r>
        <w:rPr>
          <w:b/>
          <w:bCs/>
        </w:rPr>
        <w:t xml:space="preserve">Inside Microsoft Teams. </w:t>
      </w:r>
      <w:r>
        <w:t xml:space="preserve">The team already works there all day, so there’s nothing new to adopt — it meets them where they are.</w:t>
      </w:r>
    </w:p>
    <w:p>
      <w:pPr>
        <w:pStyle w:val="ListParagraph"/>
        <w:numPr>
          <w:ilvl w:val="0"/>
          <w:numId w:val="1"/>
        </w:numPr>
        <w:spacing w:after="60"/>
      </w:pPr>
      <w:r>
        <w:rPr>
          <w:b/>
          <w:bCs/>
        </w:rPr>
        <w:t xml:space="preserve">In the firm’s own secure cloud. </w:t>
      </w:r>
      <w:r>
        <w:t xml:space="preserve">Everything runs inside the firm’s own Microsoft cloud account, so the firm keeps full control of its data — it never leaves their walls.</w:t>
      </w:r>
    </w:p>
    <w:p>
      <w:pPr>
        <w:pStyle w:val="ListParagraph"/>
        <w:numPr>
          <w:ilvl w:val="0"/>
          <w:numId w:val="1"/>
        </w:numPr>
        <w:spacing w:after="60"/>
      </w:pPr>
      <w:r>
        <w:rPr>
          <w:b/>
          <w:bCs/>
        </w:rPr>
        <w:t xml:space="preserve">Easy to switch on, cheap to try. </w:t>
      </w:r>
      <w:r>
        <w:t xml:space="preserve">It can be set up with a single command, and it “goes to sleep” when nobody’s using it so a trial costs almost nothing.</w:t>
      </w:r>
    </w:p>
    <w:p>
      <w:pPr>
        <w:pStyle w:val="ListParagraph"/>
        <w:numPr>
          <w:ilvl w:val="0"/>
          <w:numId w:val="1"/>
        </w:numPr>
        <w:spacing w:after="60"/>
      </w:pPr>
      <w:r>
        <w:rPr>
          <w:b/>
          <w:bCs/>
        </w:rPr>
        <w:t xml:space="preserve">Uses the same connected tools that Microsoft 365 provides. </w:t>
      </w:r>
      <w:r>
        <w:t xml:space="preserve">It can also plug into the team’s existing files, chats and email (with permission) so its answers reflect the firm’s actual working knowledge.</w:t>
      </w:r>
    </w:p>
    <w:p>
      <w:pPr>
        <w:pStyle w:val="Heading1"/>
        <w:spacing w:after="120" w:before="260"/>
      </w:pPr>
      <w:r>
        <w:rPr>
          <w:b/>
          <w:bCs/>
          <w:color w:val="2E74B5"/>
        </w:rPr>
        <w:t xml:space="preserve">9. The whole thing in one sentence</w:t>
      </w:r>
    </w:p>
    <w:p>
      <w:pPr>
        <w:spacing w:after="120"/>
      </w:pPr>
      <w:r>
        <w:rPr>
          <w:i/>
          <w:iCs/>
          <w:sz w:val="24"/>
          <w:szCs w:val="24"/>
        </w:rPr>
        <w:t xml:space="preserve">The Deal Room takes a company deal from the very first spark of interest all the way to a business the firm owns and monitors — in one shared, plain-language workspace inside the tools the team already uses, with every answer built from real information and every person seeing only what they’re allowed to.</w:t>
      </w:r>
    </w:p>
    <w:p>
      <w:pPr>
        <w:pStyle w:val="Heading1"/>
        <w:spacing w:after="120" w:before="260"/>
      </w:pPr>
      <w:r>
        <w:rPr>
          <w:b/>
          <w:bCs/>
          <w:color w:val="2E74B5"/>
        </w:rPr>
        <w:t xml:space="preserve">10. Jargon decoder (every acronym, in plain words)</w:t>
      </w:r>
    </w:p>
    <w:p>
      <w:pPr>
        <w:spacing w:after="120"/>
      </w:pPr>
      <w:r>
        <w:t xml:space="preserve">You don’t need any of these to use the product — but here’s what the words mean when you hear them.</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tblGrid>
      <w:tr>
        <w:trPr>
          <w:tblHeader/>
        </w:trPr>
        <w:tc>
          <w:tcPr>
            <w:tcW w:type="pct" w:w="26%"/>
            <w:shd w:fill="F0F4F8"/>
            <w:tcMar>
              <w:top w:type="dxa" w:w="60"/>
              <w:left w:type="dxa" w:w="120"/>
              <w:bottom w:type="dxa" w:w="60"/>
              <w:right w:type="dxa" w:w="120"/>
            </w:tcMar>
          </w:tcPr>
          <w:p>
            <w:r>
              <w:rPr>
                <w:b/>
                <w:bCs/>
              </w:rPr>
              <w:t xml:space="preserve">Term / word</w:t>
            </w:r>
          </w:p>
        </w:tc>
        <w:tc>
          <w:tcPr>
            <w:tcW w:type="pct" w:w="74%"/>
            <w:shd w:fill="F0F4F8"/>
            <w:tcMar>
              <w:top w:type="dxa" w:w="60"/>
              <w:left w:type="dxa" w:w="120"/>
              <w:bottom w:type="dxa" w:w="60"/>
              <w:right w:type="dxa" w:w="120"/>
            </w:tcMar>
          </w:tcPr>
          <w:p>
            <w:r>
              <w:rPr>
                <w:b/>
                <w:bCs/>
              </w:rPr>
              <w:t xml:space="preserve">What it means in plain English</w:t>
            </w:r>
          </w:p>
        </w:tc>
      </w:tr>
      <w:tr>
        <w:tc>
          <w:tcPr>
            <w:tcW w:type="pct" w:w="26%"/>
            <w:tcMar>
              <w:top w:type="dxa" w:w="60"/>
              <w:left w:type="dxa" w:w="120"/>
              <w:bottom w:type="dxa" w:w="60"/>
              <w:right w:type="dxa" w:w="120"/>
            </w:tcMar>
          </w:tcPr>
          <w:p>
            <w:r>
              <w:rPr>
                <w:b/>
                <w:bCs/>
                <w:color w:val="2E74B5"/>
              </w:rPr>
              <w:t xml:space="preserve">Private equity (PE)</w:t>
            </w:r>
          </w:p>
        </w:tc>
        <w:tc>
          <w:tcPr>
            <w:tcW w:type="pct" w:w="74%"/>
            <w:tcMar>
              <w:top w:type="dxa" w:w="60"/>
              <w:left w:type="dxa" w:w="120"/>
              <w:bottom w:type="dxa" w:w="60"/>
              <w:right w:type="dxa" w:w="120"/>
            </w:tcMar>
          </w:tcPr>
          <w:p>
            <w:r>
              <w:rPr>
                <w:b w:val="false"/>
                <w:bCs w:val="false"/>
              </w:rPr>
              <w:t xml:space="preserve">A firm that raises money from big investors, buys companies, improves them, and sells them for a profit.</w:t>
            </w:r>
          </w:p>
        </w:tc>
      </w:tr>
      <w:tr>
        <w:tc>
          <w:tcPr>
            <w:tcW w:type="pct" w:w="26%"/>
            <w:tcMar>
              <w:top w:type="dxa" w:w="60"/>
              <w:left w:type="dxa" w:w="120"/>
              <w:bottom w:type="dxa" w:w="60"/>
              <w:right w:type="dxa" w:w="120"/>
            </w:tcMar>
          </w:tcPr>
          <w:p>
            <w:r>
              <w:rPr>
                <w:b/>
                <w:bCs/>
                <w:color w:val="2E74B5"/>
              </w:rPr>
              <w:t xml:space="preserve">Deal</w:t>
            </w:r>
          </w:p>
        </w:tc>
        <w:tc>
          <w:tcPr>
            <w:tcW w:type="pct" w:w="74%"/>
            <w:tcMar>
              <w:top w:type="dxa" w:w="60"/>
              <w:left w:type="dxa" w:w="120"/>
              <w:bottom w:type="dxa" w:w="60"/>
              <w:right w:type="dxa" w:w="120"/>
            </w:tcMar>
          </w:tcPr>
          <w:p>
            <w:r>
              <w:rPr>
                <w:b w:val="false"/>
                <w:bCs w:val="false"/>
              </w:rPr>
              <w:t xml:space="preserve">A single effort to buy (and later sell) a company.</w:t>
            </w:r>
          </w:p>
        </w:tc>
      </w:tr>
      <w:tr>
        <w:tc>
          <w:tcPr>
            <w:tcW w:type="pct" w:w="26%"/>
            <w:tcMar>
              <w:top w:type="dxa" w:w="60"/>
              <w:left w:type="dxa" w:w="120"/>
              <w:bottom w:type="dxa" w:w="60"/>
              <w:right w:type="dxa" w:w="120"/>
            </w:tcMar>
          </w:tcPr>
          <w:p>
            <w:r>
              <w:rPr>
                <w:b/>
                <w:bCs/>
                <w:color w:val="2E74B5"/>
              </w:rPr>
              <w:t xml:space="preserve">Pipeline</w:t>
            </w:r>
          </w:p>
        </w:tc>
        <w:tc>
          <w:tcPr>
            <w:tcW w:type="pct" w:w="74%"/>
            <w:tcMar>
              <w:top w:type="dxa" w:w="60"/>
              <w:left w:type="dxa" w:w="120"/>
              <w:bottom w:type="dxa" w:w="60"/>
              <w:right w:type="dxa" w:w="120"/>
            </w:tcMar>
          </w:tcPr>
          <w:p>
            <w:r>
              <w:rPr>
                <w:b w:val="false"/>
                <w:bCs w:val="false"/>
              </w:rPr>
              <w:t xml:space="preserve">All the possible deals the firm is looking at, at various stages — like a sales funnel.</w:t>
            </w:r>
          </w:p>
        </w:tc>
      </w:tr>
      <w:tr>
        <w:tc>
          <w:tcPr>
            <w:tcW w:type="pct" w:w="26%"/>
            <w:tcMar>
              <w:top w:type="dxa" w:w="60"/>
              <w:left w:type="dxa" w:w="120"/>
              <w:bottom w:type="dxa" w:w="60"/>
              <w:right w:type="dxa" w:w="120"/>
            </w:tcMar>
          </w:tcPr>
          <w:p>
            <w:r>
              <w:rPr>
                <w:b/>
                <w:bCs/>
                <w:color w:val="2E74B5"/>
              </w:rPr>
              <w:t xml:space="preserve">Sourcing</w:t>
            </w:r>
          </w:p>
        </w:tc>
        <w:tc>
          <w:tcPr>
            <w:tcW w:type="pct" w:w="74%"/>
            <w:tcMar>
              <w:top w:type="dxa" w:w="60"/>
              <w:left w:type="dxa" w:w="120"/>
              <w:bottom w:type="dxa" w:w="60"/>
              <w:right w:type="dxa" w:w="120"/>
            </w:tcMar>
          </w:tcPr>
          <w:p>
            <w:r>
              <w:rPr>
                <w:b w:val="false"/>
                <w:bCs w:val="false"/>
              </w:rPr>
              <w:t xml:space="preserve">Finding companies that might be worth buying.</w:t>
            </w:r>
          </w:p>
        </w:tc>
      </w:tr>
      <w:tr>
        <w:tc>
          <w:tcPr>
            <w:tcW w:type="pct" w:w="26%"/>
            <w:tcMar>
              <w:top w:type="dxa" w:w="60"/>
              <w:left w:type="dxa" w:w="120"/>
              <w:bottom w:type="dxa" w:w="60"/>
              <w:right w:type="dxa" w:w="120"/>
            </w:tcMar>
          </w:tcPr>
          <w:p>
            <w:r>
              <w:rPr>
                <w:b/>
                <w:bCs/>
                <w:color w:val="2E74B5"/>
              </w:rPr>
              <w:t xml:space="preserve">Screening</w:t>
            </w:r>
          </w:p>
        </w:tc>
        <w:tc>
          <w:tcPr>
            <w:tcW w:type="pct" w:w="74%"/>
            <w:tcMar>
              <w:top w:type="dxa" w:w="60"/>
              <w:left w:type="dxa" w:w="120"/>
              <w:bottom w:type="dxa" w:w="60"/>
              <w:right w:type="dxa" w:w="120"/>
            </w:tcMar>
          </w:tcPr>
          <w:p>
            <w:r>
              <w:rPr>
                <w:b w:val="false"/>
                <w:bCs w:val="false"/>
              </w:rPr>
              <w:t xml:space="preserve">Quickly checking whether a company fits what the firm wants, to rule out poor fits early.</w:t>
            </w:r>
          </w:p>
        </w:tc>
      </w:tr>
      <w:tr>
        <w:tc>
          <w:tcPr>
            <w:tcW w:type="pct" w:w="26%"/>
            <w:tcMar>
              <w:top w:type="dxa" w:w="60"/>
              <w:left w:type="dxa" w:w="120"/>
              <w:bottom w:type="dxa" w:w="60"/>
              <w:right w:type="dxa" w:w="120"/>
            </w:tcMar>
          </w:tcPr>
          <w:p>
            <w:r>
              <w:rPr>
                <w:b/>
                <w:bCs/>
                <w:color w:val="2E74B5"/>
              </w:rPr>
              <w:t xml:space="preserve">Due diligence (“diligence”)</w:t>
            </w:r>
          </w:p>
        </w:tc>
        <w:tc>
          <w:tcPr>
            <w:tcW w:type="pct" w:w="74%"/>
            <w:tcMar>
              <w:top w:type="dxa" w:w="60"/>
              <w:left w:type="dxa" w:w="120"/>
              <w:bottom w:type="dxa" w:w="60"/>
              <w:right w:type="dxa" w:w="120"/>
            </w:tcMar>
          </w:tcPr>
          <w:p>
            <w:r>
              <w:rPr>
                <w:b w:val="false"/>
                <w:bCs w:val="false"/>
              </w:rPr>
              <w:t xml:space="preserve">The deep investigation of a company before buying — finances, market, legal, technology, operations.</w:t>
            </w:r>
          </w:p>
        </w:tc>
      </w:tr>
      <w:tr>
        <w:tc>
          <w:tcPr>
            <w:tcW w:type="pct" w:w="26%"/>
            <w:tcMar>
              <w:top w:type="dxa" w:w="60"/>
              <w:left w:type="dxa" w:w="120"/>
              <w:bottom w:type="dxa" w:w="60"/>
              <w:right w:type="dxa" w:w="120"/>
            </w:tcMar>
          </w:tcPr>
          <w:p>
            <w:r>
              <w:rPr>
                <w:b/>
                <w:bCs/>
                <w:color w:val="2E74B5"/>
              </w:rPr>
              <w:t xml:space="preserve">Investment Committee (IC)</w:t>
            </w:r>
          </w:p>
        </w:tc>
        <w:tc>
          <w:tcPr>
            <w:tcW w:type="pct" w:w="74%"/>
            <w:tcMar>
              <w:top w:type="dxa" w:w="60"/>
              <w:left w:type="dxa" w:w="120"/>
              <w:bottom w:type="dxa" w:w="60"/>
              <w:right w:type="dxa" w:w="120"/>
            </w:tcMar>
          </w:tcPr>
          <w:p>
            <w:r>
              <w:rPr>
                <w:b w:val="false"/>
                <w:bCs w:val="false"/>
              </w:rPr>
              <w:t xml:space="preserve">The group of senior people who give the final yes/no on doing a deal.</w:t>
            </w:r>
          </w:p>
        </w:tc>
      </w:tr>
      <w:tr>
        <w:tc>
          <w:tcPr>
            <w:tcW w:type="pct" w:w="26%"/>
            <w:tcMar>
              <w:top w:type="dxa" w:w="60"/>
              <w:left w:type="dxa" w:w="120"/>
              <w:bottom w:type="dxa" w:w="60"/>
              <w:right w:type="dxa" w:w="120"/>
            </w:tcMar>
          </w:tcPr>
          <w:p>
            <w:r>
              <w:rPr>
                <w:b/>
                <w:bCs/>
                <w:color w:val="2E74B5"/>
              </w:rPr>
              <w:t xml:space="preserve">Data room</w:t>
            </w:r>
          </w:p>
        </w:tc>
        <w:tc>
          <w:tcPr>
            <w:tcW w:type="pct" w:w="74%"/>
            <w:tcMar>
              <w:top w:type="dxa" w:w="60"/>
              <w:left w:type="dxa" w:w="120"/>
              <w:bottom w:type="dxa" w:w="60"/>
              <w:right w:type="dxa" w:w="120"/>
            </w:tcMar>
          </w:tcPr>
          <w:p>
            <w:r>
              <w:rPr>
                <w:b w:val="false"/>
                <w:bCs w:val="false"/>
              </w:rPr>
              <w:t xml:space="preserve">A secure, organised folder of all a deal’s confidential documents.</w:t>
            </w:r>
          </w:p>
        </w:tc>
      </w:tr>
      <w:tr>
        <w:tc>
          <w:tcPr>
            <w:tcW w:type="pct" w:w="26%"/>
            <w:tcMar>
              <w:top w:type="dxa" w:w="60"/>
              <w:left w:type="dxa" w:w="120"/>
              <w:bottom w:type="dxa" w:w="60"/>
              <w:right w:type="dxa" w:w="120"/>
            </w:tcMar>
          </w:tcPr>
          <w:p>
            <w:r>
              <w:rPr>
                <w:b/>
                <w:bCs/>
                <w:color w:val="2E74B5"/>
              </w:rPr>
              <w:t xml:space="preserve">Memo / IC memo</w:t>
            </w:r>
          </w:p>
        </w:tc>
        <w:tc>
          <w:tcPr>
            <w:tcW w:type="pct" w:w="74%"/>
            <w:tcMar>
              <w:top w:type="dxa" w:w="60"/>
              <w:left w:type="dxa" w:w="120"/>
              <w:bottom w:type="dxa" w:w="60"/>
              <w:right w:type="dxa" w:w="120"/>
            </w:tcMar>
          </w:tcPr>
          <w:p>
            <w:r>
              <w:rPr>
                <w:b w:val="false"/>
                <w:bCs w:val="false"/>
              </w:rPr>
              <w:t xml:space="preserve">The written case for a deal that the committee reads before deciding.</w:t>
            </w:r>
          </w:p>
        </w:tc>
      </w:tr>
      <w:tr>
        <w:tc>
          <w:tcPr>
            <w:tcW w:type="pct" w:w="26%"/>
            <w:tcMar>
              <w:top w:type="dxa" w:w="60"/>
              <w:left w:type="dxa" w:w="120"/>
              <w:bottom w:type="dxa" w:w="60"/>
              <w:right w:type="dxa" w:w="120"/>
            </w:tcMar>
          </w:tcPr>
          <w:p>
            <w:r>
              <w:rPr>
                <w:b/>
                <w:bCs/>
                <w:color w:val="2E74B5"/>
              </w:rPr>
              <w:t xml:space="preserve">Model</w:t>
            </w:r>
          </w:p>
        </w:tc>
        <w:tc>
          <w:tcPr>
            <w:tcW w:type="pct" w:w="74%"/>
            <w:tcMar>
              <w:top w:type="dxa" w:w="60"/>
              <w:left w:type="dxa" w:w="120"/>
              <w:bottom w:type="dxa" w:w="60"/>
              <w:right w:type="dxa" w:w="120"/>
            </w:tcMar>
          </w:tcPr>
          <w:p>
            <w:r>
              <w:rPr>
                <w:b w:val="false"/>
                <w:bCs w:val="false"/>
              </w:rPr>
              <w:t xml:space="preserve">A spreadsheet that projects how much money a deal could make under different assumptions.</w:t>
            </w:r>
          </w:p>
        </w:tc>
      </w:tr>
      <w:tr>
        <w:tc>
          <w:tcPr>
            <w:tcW w:type="pct" w:w="26%"/>
            <w:tcMar>
              <w:top w:type="dxa" w:w="60"/>
              <w:left w:type="dxa" w:w="120"/>
              <w:bottom w:type="dxa" w:w="60"/>
              <w:right w:type="dxa" w:w="120"/>
            </w:tcMar>
          </w:tcPr>
          <w:p>
            <w:r>
              <w:rPr>
                <w:b/>
                <w:bCs/>
                <w:color w:val="2E74B5"/>
              </w:rPr>
              <w:t xml:space="preserve">Returns (IRR / MOIC)</w:t>
            </w:r>
          </w:p>
        </w:tc>
        <w:tc>
          <w:tcPr>
            <w:tcW w:type="pct" w:w="74%"/>
            <w:tcMar>
              <w:top w:type="dxa" w:w="60"/>
              <w:left w:type="dxa" w:w="120"/>
              <w:bottom w:type="dxa" w:w="60"/>
              <w:right w:type="dxa" w:w="120"/>
            </w:tcMar>
          </w:tcPr>
          <w:p>
            <w:r>
              <w:rPr>
                <w:b w:val="false"/>
                <w:bCs w:val="false"/>
              </w:rPr>
              <w:t xml:space="preserve">Measures of how profitable a deal is. MOIC = how many times you multiplied your money (e.g. 2x). IRR = that profit expressed as a yearly percentage rate.</w:t>
            </w:r>
          </w:p>
        </w:tc>
      </w:tr>
      <w:tr>
        <w:tc>
          <w:tcPr>
            <w:tcW w:type="pct" w:w="26%"/>
            <w:tcMar>
              <w:top w:type="dxa" w:w="60"/>
              <w:left w:type="dxa" w:w="120"/>
              <w:bottom w:type="dxa" w:w="60"/>
              <w:right w:type="dxa" w:w="120"/>
            </w:tcMar>
          </w:tcPr>
          <w:p>
            <w:r>
              <w:rPr>
                <w:b/>
                <w:bCs/>
                <w:color w:val="2E74B5"/>
              </w:rPr>
              <w:t xml:space="preserve">Hurdle</w:t>
            </w:r>
          </w:p>
        </w:tc>
        <w:tc>
          <w:tcPr>
            <w:tcW w:type="pct" w:w="74%"/>
            <w:tcMar>
              <w:top w:type="dxa" w:w="60"/>
              <w:left w:type="dxa" w:w="120"/>
              <w:bottom w:type="dxa" w:w="60"/>
              <w:right w:type="dxa" w:w="120"/>
            </w:tcMar>
          </w:tcPr>
          <w:p>
            <w:r>
              <w:rPr>
                <w:b w:val="false"/>
                <w:bCs w:val="false"/>
              </w:rPr>
              <w:t xml:space="preserve">The minimum return a deal must beat to be worth doing.</w:t>
            </w:r>
          </w:p>
        </w:tc>
      </w:tr>
      <w:tr>
        <w:tc>
          <w:tcPr>
            <w:tcW w:type="pct" w:w="26%"/>
            <w:tcMar>
              <w:top w:type="dxa" w:w="60"/>
              <w:left w:type="dxa" w:w="120"/>
              <w:bottom w:type="dxa" w:w="60"/>
              <w:right w:type="dxa" w:w="120"/>
            </w:tcMar>
          </w:tcPr>
          <w:p>
            <w:r>
              <w:rPr>
                <w:b/>
                <w:bCs/>
                <w:color w:val="2E74B5"/>
              </w:rPr>
              <w:t xml:space="preserve">LP (Limited Partner)</w:t>
            </w:r>
          </w:p>
        </w:tc>
        <w:tc>
          <w:tcPr>
            <w:tcW w:type="pct" w:w="74%"/>
            <w:tcMar>
              <w:top w:type="dxa" w:w="60"/>
              <w:left w:type="dxa" w:w="120"/>
              <w:bottom w:type="dxa" w:w="60"/>
              <w:right w:type="dxa" w:w="120"/>
            </w:tcMar>
          </w:tcPr>
          <w:p>
            <w:r>
              <w:rPr>
                <w:b w:val="false"/>
                <w:bCs w:val="false"/>
              </w:rPr>
              <w:t xml:space="preserve">The outside investors who give the firm its money (pensions, universities, families).</w:t>
            </w:r>
          </w:p>
        </w:tc>
      </w:tr>
      <w:tr>
        <w:tc>
          <w:tcPr>
            <w:tcW w:type="pct" w:w="26%"/>
            <w:tcMar>
              <w:top w:type="dxa" w:w="60"/>
              <w:left w:type="dxa" w:w="120"/>
              <w:bottom w:type="dxa" w:w="60"/>
              <w:right w:type="dxa" w:w="120"/>
            </w:tcMar>
          </w:tcPr>
          <w:p>
            <w:r>
              <w:rPr>
                <w:b/>
                <w:bCs/>
                <w:color w:val="2E74B5"/>
              </w:rPr>
              <w:t xml:space="preserve">Fund</w:t>
            </w:r>
          </w:p>
        </w:tc>
        <w:tc>
          <w:tcPr>
            <w:tcW w:type="pct" w:w="74%"/>
            <w:tcMar>
              <w:top w:type="dxa" w:w="60"/>
              <w:left w:type="dxa" w:w="120"/>
              <w:bottom w:type="dxa" w:w="60"/>
              <w:right w:type="dxa" w:w="120"/>
            </w:tcMar>
          </w:tcPr>
          <w:p>
            <w:r>
              <w:rPr>
                <w:b w:val="false"/>
                <w:bCs w:val="false"/>
              </w:rPr>
              <w:t xml:space="preserve">The pot of money, raised from those investors, that the firm invests.</w:t>
            </w:r>
          </w:p>
        </w:tc>
      </w:tr>
      <w:tr>
        <w:tc>
          <w:tcPr>
            <w:tcW w:type="pct" w:w="26%"/>
            <w:tcMar>
              <w:top w:type="dxa" w:w="60"/>
              <w:left w:type="dxa" w:w="120"/>
              <w:bottom w:type="dxa" w:w="60"/>
              <w:right w:type="dxa" w:w="120"/>
            </w:tcMar>
          </w:tcPr>
          <w:p>
            <w:r>
              <w:rPr>
                <w:b/>
                <w:bCs/>
                <w:color w:val="2E74B5"/>
              </w:rPr>
              <w:t xml:space="preserve">Portfolio company</w:t>
            </w:r>
          </w:p>
        </w:tc>
        <w:tc>
          <w:tcPr>
            <w:tcW w:type="pct" w:w="74%"/>
            <w:tcMar>
              <w:top w:type="dxa" w:w="60"/>
              <w:left w:type="dxa" w:w="120"/>
              <w:bottom w:type="dxa" w:w="60"/>
              <w:right w:type="dxa" w:w="120"/>
            </w:tcMar>
          </w:tcPr>
          <w:p>
            <w:r>
              <w:rPr>
                <w:b w:val="false"/>
                <w:bCs w:val="false"/>
              </w:rPr>
              <w:t xml:space="preserve">A company the firm has bought and now owns.</w:t>
            </w:r>
          </w:p>
        </w:tc>
      </w:tr>
      <w:tr>
        <w:tc>
          <w:tcPr>
            <w:tcW w:type="pct" w:w="26%"/>
            <w:tcMar>
              <w:top w:type="dxa" w:w="60"/>
              <w:left w:type="dxa" w:w="120"/>
              <w:bottom w:type="dxa" w:w="60"/>
              <w:right w:type="dxa" w:w="120"/>
            </w:tcMar>
          </w:tcPr>
          <w:p>
            <w:r>
              <w:rPr>
                <w:b/>
                <w:bCs/>
                <w:color w:val="2E74B5"/>
              </w:rPr>
              <w:t xml:space="preserve">100-day plan</w:t>
            </w:r>
          </w:p>
        </w:tc>
        <w:tc>
          <w:tcPr>
            <w:tcW w:type="pct" w:w="74%"/>
            <w:tcMar>
              <w:top w:type="dxa" w:w="60"/>
              <w:left w:type="dxa" w:w="120"/>
              <w:bottom w:type="dxa" w:w="60"/>
              <w:right w:type="dxa" w:w="120"/>
            </w:tcMar>
          </w:tcPr>
          <w:p>
            <w:r>
              <w:rPr>
                <w:b w:val="false"/>
                <w:bCs w:val="false"/>
              </w:rPr>
              <w:t xml:space="preserve">The improvement plan for the first stretch after buying a company.</w:t>
            </w:r>
          </w:p>
        </w:tc>
      </w:tr>
      <w:tr>
        <w:tc>
          <w:tcPr>
            <w:tcW w:type="pct" w:w="26%"/>
            <w:tcMar>
              <w:top w:type="dxa" w:w="60"/>
              <w:left w:type="dxa" w:w="120"/>
              <w:bottom w:type="dxa" w:w="60"/>
              <w:right w:type="dxa" w:w="120"/>
            </w:tcMar>
          </w:tcPr>
          <w:p>
            <w:r>
              <w:rPr>
                <w:b/>
                <w:bCs/>
                <w:color w:val="2E74B5"/>
              </w:rPr>
              <w:t xml:space="preserve">Exit</w:t>
            </w:r>
          </w:p>
        </w:tc>
        <w:tc>
          <w:tcPr>
            <w:tcW w:type="pct" w:w="74%"/>
            <w:tcMar>
              <w:top w:type="dxa" w:w="60"/>
              <w:left w:type="dxa" w:w="120"/>
              <w:bottom w:type="dxa" w:w="60"/>
              <w:right w:type="dxa" w:w="120"/>
            </w:tcMar>
          </w:tcPr>
          <w:p>
            <w:r>
              <w:rPr>
                <w:b w:val="false"/>
                <w:bCs w:val="false"/>
              </w:rPr>
              <w:t xml:space="preserve">Selling a company the firm owns, to realise the profit.</w:t>
            </w:r>
          </w:p>
        </w:tc>
      </w:tr>
      <w:tr>
        <w:tc>
          <w:tcPr>
            <w:tcW w:type="pct" w:w="26%"/>
            <w:tcMar>
              <w:top w:type="dxa" w:w="60"/>
              <w:left w:type="dxa" w:w="120"/>
              <w:bottom w:type="dxa" w:w="60"/>
              <w:right w:type="dxa" w:w="120"/>
            </w:tcMar>
          </w:tcPr>
          <w:p>
            <w:r>
              <w:rPr>
                <w:b/>
                <w:bCs/>
                <w:color w:val="2E74B5"/>
              </w:rPr>
              <w:t xml:space="preserve">Need-to-know / information barrier</w:t>
            </w:r>
          </w:p>
        </w:tc>
        <w:tc>
          <w:tcPr>
            <w:tcW w:type="pct" w:w="74%"/>
            <w:tcMar>
              <w:top w:type="dxa" w:w="60"/>
              <w:left w:type="dxa" w:w="120"/>
              <w:bottom w:type="dxa" w:w="60"/>
              <w:right w:type="dxa" w:w="120"/>
            </w:tcMar>
          </w:tcPr>
          <w:p>
            <w:r>
              <w:rPr>
                <w:b w:val="false"/>
                <w:bCs w:val="false"/>
              </w:rPr>
              <w:t xml:space="preserve">The rule (and the law) that people should only see the confidential information their role requires.</w:t>
            </w:r>
          </w:p>
        </w:tc>
      </w:tr>
      <w:tr>
        <w:tc>
          <w:tcPr>
            <w:tcW w:type="pct" w:w="26%"/>
            <w:tcMar>
              <w:top w:type="dxa" w:w="60"/>
              <w:left w:type="dxa" w:w="120"/>
              <w:bottom w:type="dxa" w:w="60"/>
              <w:right w:type="dxa" w:w="120"/>
            </w:tcMar>
          </w:tcPr>
          <w:p>
            <w:r>
              <w:rPr>
                <w:b/>
                <w:bCs/>
                <w:color w:val="2E74B5"/>
              </w:rPr>
              <w:t xml:space="preserve">MNPI</w:t>
            </w:r>
          </w:p>
        </w:tc>
        <w:tc>
          <w:tcPr>
            <w:tcW w:type="pct" w:w="74%"/>
            <w:tcMar>
              <w:top w:type="dxa" w:w="60"/>
              <w:left w:type="dxa" w:w="120"/>
              <w:bottom w:type="dxa" w:w="60"/>
              <w:right w:type="dxa" w:w="120"/>
            </w:tcMar>
          </w:tcPr>
          <w:p>
            <w:r>
              <w:rPr>
                <w:b w:val="false"/>
                <w:bCs w:val="false"/>
              </w:rPr>
              <w:t xml:space="preserve">Material Non-Public Information — sensitive, price-moving information about a company that isn’t public; misusing it is illegal, so access is tightly controlled.</w:t>
            </w:r>
          </w:p>
        </w:tc>
      </w:tr>
      <w:tr>
        <w:tc>
          <w:tcPr>
            <w:tcW w:type="pct" w:w="26%"/>
            <w:tcMar>
              <w:top w:type="dxa" w:w="60"/>
              <w:left w:type="dxa" w:w="120"/>
              <w:bottom w:type="dxa" w:w="60"/>
              <w:right w:type="dxa" w:w="120"/>
            </w:tcMar>
          </w:tcPr>
          <w:p>
            <w:r>
              <w:rPr>
                <w:b/>
                <w:bCs/>
                <w:color w:val="2E74B5"/>
              </w:rPr>
              <w:t xml:space="preserve">NDA</w:t>
            </w:r>
          </w:p>
        </w:tc>
        <w:tc>
          <w:tcPr>
            <w:tcW w:type="pct" w:w="74%"/>
            <w:tcMar>
              <w:top w:type="dxa" w:w="60"/>
              <w:left w:type="dxa" w:w="120"/>
              <w:bottom w:type="dxa" w:w="60"/>
              <w:right w:type="dxa" w:w="120"/>
            </w:tcMar>
          </w:tcPr>
          <w:p>
            <w:r>
              <w:rPr>
                <w:b w:val="false"/>
                <w:bCs w:val="false"/>
              </w:rPr>
              <w:t xml:space="preserve">Non-Disclosure Agreement — a contract promising to keep shared information confidential.</w:t>
            </w:r>
          </w:p>
        </w:tc>
      </w:tr>
      <w:tr>
        <w:tc>
          <w:tcPr>
            <w:tcW w:type="pct" w:w="26%"/>
            <w:tcMar>
              <w:top w:type="dxa" w:w="60"/>
              <w:left w:type="dxa" w:w="120"/>
              <w:bottom w:type="dxa" w:w="60"/>
              <w:right w:type="dxa" w:w="120"/>
            </w:tcMar>
          </w:tcPr>
          <w:p>
            <w:r>
              <w:rPr>
                <w:b/>
                <w:bCs/>
                <w:color w:val="2E74B5"/>
              </w:rPr>
              <w:t xml:space="preserve">Microsoft Teams</w:t>
            </w:r>
          </w:p>
        </w:tc>
        <w:tc>
          <w:tcPr>
            <w:tcW w:type="pct" w:w="74%"/>
            <w:tcMar>
              <w:top w:type="dxa" w:w="60"/>
              <w:left w:type="dxa" w:w="120"/>
              <w:bottom w:type="dxa" w:w="60"/>
              <w:right w:type="dxa" w:w="120"/>
            </w:tcMar>
          </w:tcPr>
          <w:p>
            <w:r>
              <w:rPr>
                <w:b w:val="false"/>
                <w:bCs w:val="false"/>
              </w:rPr>
              <w:t xml:space="preserve">The everyday chat-and-collaboration app the product lives inside.</w:t>
            </w:r>
          </w:p>
        </w:tc>
      </w:tr>
      <w:tr>
        <w:tc>
          <w:tcPr>
            <w:tcW w:type="pct" w:w="26%"/>
            <w:tcMar>
              <w:top w:type="dxa" w:w="60"/>
              <w:left w:type="dxa" w:w="120"/>
              <w:bottom w:type="dxa" w:w="60"/>
              <w:right w:type="dxa" w:w="120"/>
            </w:tcMar>
          </w:tcPr>
          <w:p>
            <w:r>
              <w:rPr>
                <w:b/>
                <w:bCs/>
                <w:color w:val="2E74B5"/>
              </w:rPr>
              <w:t xml:space="preserve">AI assistant / specialist</w:t>
            </w:r>
          </w:p>
        </w:tc>
        <w:tc>
          <w:tcPr>
            <w:tcW w:type="pct" w:w="74%"/>
            <w:tcMar>
              <w:top w:type="dxa" w:w="60"/>
              <w:left w:type="dxa" w:w="120"/>
              <w:bottom w:type="dxa" w:w="60"/>
              <w:right w:type="dxa" w:w="120"/>
            </w:tcMar>
          </w:tcPr>
          <w:p>
            <w:r>
              <w:rPr>
                <w:b w:val="false"/>
                <w:bCs w:val="false"/>
              </w:rPr>
              <w:t xml:space="preserve">The built-in helper you ask questions in plain language; it can act like a specific expert (analyst, finance lead, etc.).</w:t>
            </w:r>
          </w:p>
        </w:tc>
      </w:tr>
    </w:tbl>
    <w:p>
      <w:pPr>
        <w:spacing w:before="240"/>
      </w:pPr>
      <w:r>
        <w:rPr>
          <w:i/>
          <w:iCs/>
          <w:color w:val="555555"/>
          <w:sz w:val="18"/>
          <w:szCs w:val="18"/>
        </w:rPr>
        <w:t xml:space="preserve">Prepared as a plain-English reference. Nothing here requires prior knowledge of private equity.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Deal Room — Explained in Plain English</dc:title>
  <dc:creator>The Deal Room</dc:creator>
  <cp:lastModifiedBy>Un-named</cp:lastModifiedBy>
  <cp:revision>1</cp:revision>
  <dcterms:created xsi:type="dcterms:W3CDTF">2026-07-28T20:42:06.063Z</dcterms:created>
  <dcterms:modified xsi:type="dcterms:W3CDTF">2026-07-28T20:42:06.064Z</dcterms:modified>
</cp:coreProperties>
</file>

<file path=docProps/custom.xml><?xml version="1.0" encoding="utf-8"?>
<Properties xmlns="http://schemas.openxmlformats.org/officeDocument/2006/custom-properties" xmlns:vt="http://schemas.openxmlformats.org/officeDocument/2006/docPropsVTypes"/>
</file>