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i w:val="false"/>
          <w:iCs w:val="false"/>
          <w:color w:val="1B4F72"/>
          <w:sz w:val="44"/>
          <w:szCs w:val="44"/>
        </w:rPr>
        <w:t xml:space="preserve">PATENT INTAKE SHEET</w:t>
      </w:r>
    </w:p>
    <w:p>
      <w:pPr>
        <w:spacing w:after="100"/>
        <w:jc w:val="center"/>
      </w:pPr>
      <w:r>
        <w:rPr>
          <w:rFonts w:ascii="Arial" w:cs="Arial" w:eastAsia="Arial" w:hAnsi="Arial"/>
          <w:b w:val="false"/>
          <w:bCs w:val="false"/>
          <w:i w:val="false"/>
          <w:iCs w:val="false"/>
          <w:color w:val="555555"/>
          <w:sz w:val="28"/>
          <w:szCs w:val="28"/>
        </w:rPr>
        <w:t xml:space="preserve">(INVENTION DISCLOSURE FORM)</w:t>
      </w:r>
    </w:p>
    <w:p>
      <w:pPr>
        <w:spacing w:after="600"/>
        <w:jc w:val="center"/>
      </w:pPr>
      <w:r>
        <w:rPr>
          <w:rFonts w:ascii="Arial" w:cs="Arial" w:eastAsia="Arial" w:hAnsi="Arial"/>
          <w:b w:val="false"/>
          <w:bCs w:val="false"/>
          <w:i w:val="false"/>
          <w:iCs w:val="false"/>
          <w:color w:val="2E75B6"/>
          <w:sz w:val="24"/>
          <w:szCs w:val="24"/>
        </w:rPr>
        <w:t xml:space="preserve">_________________________________________________</w:t>
      </w:r>
    </w:p>
    <w:p>
      <w:pPr>
        <w:spacing w:after="200"/>
        <w:jc w:val="center"/>
      </w:pPr>
      <w:r>
        <w:rPr>
          <w:rFonts w:ascii="Arial" w:cs="Arial" w:eastAsia="Arial" w:hAnsi="Arial"/>
          <w:b/>
          <w:bCs/>
          <w:i w:val="false"/>
          <w:iCs w:val="false"/>
          <w:color w:val="333333"/>
          <w:sz w:val="28"/>
          <w:szCs w:val="28"/>
        </w:rPr>
        <w:t xml:space="preserve">SHAKTI-CHAIN: Blockchain-Settled Double Auction Mechanism</w:t>
      </w:r>
    </w:p>
    <w:p>
      <w:pPr>
        <w:spacing w:after="100"/>
        <w:jc w:val="center"/>
      </w:pPr>
      <w:r>
        <w:rPr>
          <w:rFonts w:ascii="Arial" w:cs="Arial" w:eastAsia="Arial" w:hAnsi="Arial"/>
          <w:b/>
          <w:bCs/>
          <w:i w:val="false"/>
          <w:iCs w:val="false"/>
          <w:color w:val="333333"/>
          <w:sz w:val="28"/>
          <w:szCs w:val="28"/>
        </w:rPr>
        <w:t xml:space="preserve">for Vehicle-to-Grid Energy Trading Across Indian DISCOMs</w:t>
      </w:r>
    </w:p>
    <w:p>
      <w:pPr>
        <w:spacing w:after="600"/>
      </w:pPr>
    </w:p>
    <w:p>
      <w:pPr>
        <w:spacing w:after="100"/>
        <w:jc w:val="center"/>
      </w:pPr>
      <w:r>
        <w:rPr>
          <w:rFonts w:ascii="Arial" w:cs="Arial" w:eastAsia="Arial" w:hAnsi="Arial"/>
          <w:b w:val="false"/>
          <w:bCs w:val="false"/>
          <w:i/>
          <w:iCs/>
          <w:color w:val="666666"/>
          <w:sz w:val="24"/>
          <w:szCs w:val="24"/>
        </w:rPr>
        <w:t xml:space="preserve">Prepared for Patent Attorney Review</w:t>
      </w:r>
    </w:p>
    <w:p>
      <w:pPr>
        <w:spacing w:after="100"/>
        <w:jc w:val="center"/>
      </w:pPr>
      <w:r>
        <w:rPr>
          <w:rFonts w:ascii="Arial" w:cs="Arial" w:eastAsia="Arial" w:hAnsi="Arial"/>
          <w:b w:val="false"/>
          <w:bCs w:val="false"/>
          <w:i w:val="false"/>
          <w:iCs w:val="false"/>
          <w:color w:val="666666"/>
          <w:sz w:val="22"/>
          <w:szCs w:val="22"/>
        </w:rPr>
        <w:t xml:space="preserve">Date: February 2026</w:t>
      </w:r>
    </w:p>
    <w:p>
      <w:pPr>
        <w:spacing w:after="100"/>
        <w:jc w:val="center"/>
      </w:pPr>
      <w:r>
        <w:rPr>
          <w:rFonts w:ascii="Arial" w:cs="Arial" w:eastAsia="Arial" w:hAnsi="Arial"/>
          <w:b w:val="false"/>
          <w:bCs w:val="false"/>
          <w:i w:val="false"/>
          <w:iCs w:val="false"/>
          <w:color w:val="666666"/>
          <w:sz w:val="22"/>
          <w:szCs w:val="22"/>
        </w:rPr>
        <w:t xml:space="preserve">Applicant: Birla Institute of Technology and Science (BITS) Pilani</w:t>
      </w:r>
    </w:p>
    <w:p>
      <w:pPr>
        <w:spacing w:after="100"/>
        <w:jc w:val="center"/>
      </w:pPr>
      <w:r>
        <w:rPr>
          <w:rFonts w:ascii="Arial" w:cs="Arial" w:eastAsia="Arial" w:hAnsi="Arial"/>
          <w:b/>
          <w:bCs/>
          <w:i w:val="false"/>
          <w:iCs w:val="false"/>
          <w:color w:val="CC0000"/>
          <w:sz w:val="26"/>
          <w:szCs w:val="26"/>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rPr>
        <w:t xml:space="preserve">1. Applicant Details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Applicant Name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Birla Institute of Technology and Science (BITS) Pilani</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Nationality</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Indian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Address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Vidya Vihar, Pilani, Rajasthan 333031, India</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Entity Type</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Academic Institute</w:t>
            </w:r>
          </w:p>
        </w:tc>
      </w:tr>
    </w:tbl>
    <w:p>
      <w:pPr>
        <w:pStyle w:val="Heading1"/>
        <w:spacing w:before="300" w:after="200"/>
      </w:pPr>
      <w:r>
        <w:rPr>
          <w:rFonts w:ascii="Arial" w:cs="Arial" w:eastAsia="Arial" w:hAnsi="Arial"/>
        </w:rPr>
        <w:t xml:space="preserve">2. Inventor Details</w:t>
      </w:r>
    </w:p>
    <w:p>
      <w:pPr>
        <w:spacing w:after="120"/>
      </w:pPr>
      <w:r>
        <w:rPr>
          <w:rFonts w:ascii="Arial" w:cs="Arial" w:eastAsia="Arial" w:hAnsi="Arial"/>
          <w:b/>
          <w:bCs/>
          <w:i w:val="false"/>
          <w:iCs w:val="false"/>
          <w:sz w:val="21"/>
          <w:szCs w:val="21"/>
        </w:rPr>
        <w:t xml:space="preserve">Inventor 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Name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Dr. Amit Dua</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Nationality</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Indian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Address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Department of Computer Science &amp; Information Systems, BITS Pilani, Rajasthan 333031, India</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Gender</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Male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Email</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amit.dua@pilani.bits-pilani.ac.in</w:t>
            </w:r>
          </w:p>
        </w:tc>
      </w:tr>
    </w:tbl>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bCs/>
          <w:i w:val="false"/>
          <w:iCs w:val="false"/>
          <w:sz w:val="21"/>
          <w:szCs w:val="21"/>
        </w:rPr>
        <w:t xml:space="preserve">Inventor 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Name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Prof. Hari Om Bansal</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Nationality</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Indian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Address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Department of Electrical &amp; Electronics Engineering, BITS Pilani, Rajasthan 333031, India</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Gender</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Male</w:t>
            </w:r>
          </w:p>
        </w:tc>
      </w:tr>
    </w:tbl>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bCs/>
          <w:i w:val="false"/>
          <w:iCs w:val="false"/>
          <w:sz w:val="21"/>
          <w:szCs w:val="21"/>
        </w:rPr>
        <w:t xml:space="preserve">Inventor 3:</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Name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Samarth Singh</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Nationality</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Indian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Address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Department of Electrical &amp; Electronics Engineering, BITS Pilani, Rajasthan 333031, India</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Gender</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Male</w:t>
            </w:r>
          </w:p>
        </w:tc>
      </w:tr>
    </w:tbl>
    <w:p>
      <w:pPr>
        <w:pStyle w:val="Heading1"/>
        <w:spacing w:before="300" w:after="200"/>
      </w:pPr>
      <w:r>
        <w:rPr>
          <w:rFonts w:ascii="Arial" w:cs="Arial" w:eastAsia="Arial" w:hAnsi="Arial"/>
        </w:rPr>
        <w:t xml:space="preserve">3. File Reference No.</w:t>
      </w:r>
    </w:p>
    <w:p>
      <w:pPr>
        <w:spacing w:after="120"/>
      </w:pPr>
      <w:r>
        <w:rPr>
          <w:rFonts w:ascii="Arial" w:cs="Arial" w:eastAsia="Arial" w:hAnsi="Arial"/>
          <w:b w:val="false"/>
          <w:bCs w:val="false"/>
          <w:i w:val="false"/>
          <w:iCs w:val="false"/>
          <w:sz w:val="21"/>
          <w:szCs w:val="21"/>
        </w:rPr>
        <w:t xml:space="preserve">To be assigned by the Patent Office. (Supported by Government of India under NM-ICPS and CDRF grant by BITS Pilani.)</w:t>
      </w:r>
    </w:p>
    <w:p>
      <w:pPr>
        <w:pStyle w:val="Heading1"/>
        <w:spacing w:before="300" w:after="200"/>
      </w:pPr>
      <w:r>
        <w:rPr>
          <w:rFonts w:ascii="Arial" w:cs="Arial" w:eastAsia="Arial" w:hAnsi="Arial"/>
        </w:rPr>
        <w:t xml:space="preserve">4. Title of the Invention</w:t>
      </w:r>
    </w:p>
    <w:p>
      <w:pPr>
        <w:spacing w:after="120"/>
        <w:jc w:val="left"/>
      </w:pPr>
      <w:r>
        <w:rPr>
          <w:rFonts w:ascii="Arial" w:cs="Arial" w:eastAsia="Arial" w:hAnsi="Arial"/>
          <w:b/>
          <w:bCs/>
          <w:i w:val="false"/>
          <w:iCs w:val="false"/>
          <w:sz w:val="24"/>
          <w:szCs w:val="24"/>
        </w:rPr>
        <w:t xml:space="preserve">System and Method for Blockchain-Settled Double Auction Energy Trading Between Electric Vehicles and Power Grid</w:t>
      </w:r>
    </w:p>
    <w:p>
      <w:pPr>
        <w:spacing w:after="120"/>
      </w:pPr>
      <w:r>
        <w:rPr>
          <w:rFonts w:ascii="Arial" w:cs="Arial" w:eastAsia="Arial" w:hAnsi="Arial"/>
          <w:b w:val="false"/>
          <w:bCs w:val="false"/>
          <w:i/>
          <w:iCs/>
          <w:sz w:val="18"/>
          <w:szCs w:val="18"/>
        </w:rPr>
        <w:t xml:space="preserve">(14 words)</w:t>
      </w:r>
    </w:p>
    <w:p>
      <w:pPr>
        <w:pStyle w:val="Heading1"/>
        <w:spacing w:before="300" w:after="200"/>
      </w:pPr>
      <w:r>
        <w:rPr>
          <w:rFonts w:ascii="Arial" w:cs="Arial" w:eastAsia="Arial" w:hAnsi="Arial"/>
        </w:rPr>
        <w:t xml:space="preserve">5. Field of Invention</w:t>
      </w:r>
    </w:p>
    <w:p>
      <w:pPr>
        <w:spacing w:after="120"/>
      </w:pPr>
      <w:r>
        <w:rPr>
          <w:rFonts w:ascii="Arial" w:cs="Arial" w:eastAsia="Arial" w:hAnsi="Arial"/>
          <w:b w:val="false"/>
          <w:bCs w:val="false"/>
          <w:i w:val="false"/>
          <w:iCs w:val="false"/>
          <w:sz w:val="21"/>
          <w:szCs w:val="21"/>
        </w:rPr>
        <w:t xml:space="preserve">The present invention relates to the field of peer-to-peer energy trading in smart grids, and more particularly to a system and method for enabling electric vehicle (EV) owners to sell stored battery energy back to the electricity distribution grid or to other consumers through a decentralised marketplace. The invention lies at the intersection of three technical domains: (a) power systems engineering, specifically Vehicle-to-Grid (V2G) bidirectional energy flow management; (b) distributed ledger technology, specifically Layer-2 blockchain settlement using smart contracts and energy-pegged cryptographic tokens; and (c) computational mechanism design, specifically incentive-compatible auction theory applied to two-sided energy markets.</w:t>
      </w:r>
    </w:p>
    <w:p>
      <w:pPr>
        <w:spacing w:after="120"/>
      </w:pPr>
      <w:r>
        <w:rPr>
          <w:rFonts w:ascii="Arial" w:cs="Arial" w:eastAsia="Arial" w:hAnsi="Arial"/>
          <w:b w:val="false"/>
          <w:bCs w:val="false"/>
          <w:i w:val="false"/>
          <w:iCs w:val="false"/>
          <w:sz w:val="21"/>
          <w:szCs w:val="21"/>
        </w:rPr>
        <w:t xml:space="preserve">The invention is applicable to electricity distribution companies (DISCOMs), electric vehicle fleet operators, individual EV owners, charge point operators, and energy aggregators operating within the Indian power distribution network, though the technical design is generalisable to any jurisdiction permitting peer-to-peer energy exchange at the distribution level.</w:t>
      </w:r>
    </w:p>
    <w:p>
      <w:pPr>
        <w:pStyle w:val="Heading1"/>
        <w:spacing w:before="300" w:after="200"/>
      </w:pPr>
      <w:r>
        <w:rPr>
          <w:rFonts w:ascii="Arial" w:cs="Arial" w:eastAsia="Arial" w:hAnsi="Arial"/>
        </w:rPr>
        <w:t xml:space="preserve">6. Background of Invention (Prior Art)</w:t>
      </w:r>
    </w:p>
    <w:p>
      <w:pPr>
        <w:pStyle w:val="Heading2"/>
        <w:spacing w:before="300" w:after="200"/>
      </w:pPr>
      <w:r>
        <w:rPr>
          <w:rFonts w:ascii="Arial" w:cs="Arial" w:eastAsia="Arial" w:hAnsi="Arial"/>
        </w:rPr>
        <w:t xml:space="preserve">6.1 The Problem Landscape</w:t>
      </w:r>
    </w:p>
    <w:p>
      <w:pPr>
        <w:spacing w:after="120"/>
      </w:pPr>
      <w:r>
        <w:rPr>
          <w:rFonts w:ascii="Arial" w:cs="Arial" w:eastAsia="Arial" w:hAnsi="Arial"/>
          <w:b w:val="false"/>
          <w:bCs w:val="false"/>
          <w:i w:val="false"/>
          <w:iCs w:val="false"/>
          <w:sz w:val="21"/>
          <w:szCs w:val="21"/>
        </w:rPr>
        <w:t xml:space="preserve">India targets 30% electric vehicle penetration by 2030 under its FAME programme. If this target is met, over 50 million battery-equipped vehicles will be on the road, collectively embedding roughly 300 GWh of distributed lithium-ion storage. Peak electricity demand is projected to exceed 340 GW in the same period. Even partial access to the parked fleet's stored energy could materially defer billions of rupees in new generation investment.</w:t>
      </w:r>
    </w:p>
    <w:p>
      <w:pPr>
        <w:spacing w:after="120"/>
      </w:pPr>
      <w:r>
        <w:rPr>
          <w:rFonts w:ascii="Arial" w:cs="Arial" w:eastAsia="Arial" w:hAnsi="Arial"/>
          <w:b w:val="false"/>
          <w:bCs w:val="false"/>
          <w:i w:val="false"/>
          <w:iCs w:val="false"/>
          <w:sz w:val="21"/>
          <w:szCs w:val="21"/>
        </w:rPr>
        <w:t xml:space="preserve">However, no operating platform currently exists that lets Indian EV owners sell their stored battery energy to the grid or to each other. The barrier is not the physical hardware (bidirectional inverters and smart meters exist at pilot scale), but rather the absence of a settlement mechanism suited to high-frequency, low-value energy trades.</w:t>
      </w:r>
    </w:p>
    <w:p>
      <w:pPr>
        <w:pStyle w:val="Heading2"/>
        <w:spacing w:before="300" w:after="200"/>
      </w:pPr>
      <w:r>
        <w:rPr>
          <w:rFonts w:ascii="Arial" w:cs="Arial" w:eastAsia="Arial" w:hAnsi="Arial"/>
        </w:rPr>
        <w:t xml:space="preserve">6.2 Why Existing Payment Systems Fail</w:t>
      </w:r>
    </w:p>
    <w:p>
      <w:pPr>
        <w:spacing w:after="120"/>
      </w:pPr>
      <w:r>
        <w:rPr>
          <w:rFonts w:ascii="Arial" w:cs="Arial" w:eastAsia="Arial" w:hAnsi="Arial"/>
          <w:b w:val="false"/>
          <w:bCs w:val="false"/>
          <w:i w:val="false"/>
          <w:iCs w:val="false"/>
          <w:sz w:val="21"/>
          <w:szCs w:val="21"/>
        </w:rPr>
        <w:t xml:space="preserve">India's Unified Payments Interface (UPI) dominates retail digital payments, but it is ill-suited for V2G micropayments for three reasons. First, UPI batch settlement takes 30-60 minutes, whereas V2G trades require settlement within seconds. Second, UPI merchant discount rates of 0.3-1.1% become disproportionately expensive on the INR 15-40 trades typical of a single EV discharge event, consuming 5-15% of the traded value. Third, UPI lacks programmability: it cannot express conditional execution logic such as escrow, slashing for non-delivery, or automated staking that V2G markets require.</w:t>
      </w:r>
    </w:p>
    <w:p>
      <w:pPr>
        <w:pStyle w:val="Heading2"/>
        <w:spacing w:before="300" w:after="200"/>
      </w:pPr>
      <w:r>
        <w:rPr>
          <w:rFonts w:ascii="Arial" w:cs="Arial" w:eastAsia="Arial" w:hAnsi="Arial"/>
        </w:rPr>
        <w:t xml:space="preserve">6.3 Why Existing Auction Designs Fail</w:t>
      </w:r>
    </w:p>
    <w:p>
      <w:pPr>
        <w:spacing w:after="120"/>
      </w:pPr>
      <w:r>
        <w:rPr>
          <w:rFonts w:ascii="Arial" w:cs="Arial" w:eastAsia="Arial" w:hAnsi="Arial"/>
          <w:b w:val="false"/>
          <w:bCs w:val="false"/>
          <w:i w:val="false"/>
          <w:iCs w:val="false"/>
          <w:sz w:val="21"/>
          <w:szCs w:val="21"/>
        </w:rPr>
        <w:t xml:space="preserve">The Myerson-Satterthwaite impossibility theorem (1983) proves that no clearing mechanism for bilateral trade can simultaneously achieve all four of: efficiency, incentive compatibility (truthful bidding is optimal), individual rationality (no participant loses money), and budget balance (the platform operator needs no external subsidy). At least one property must be sacrificed.</w:t>
      </w:r>
    </w:p>
    <w:p>
      <w:pPr>
        <w:spacing w:after="120"/>
      </w:pPr>
      <w:r>
        <w:rPr>
          <w:rFonts w:ascii="Arial" w:cs="Arial" w:eastAsia="Arial" w:hAnsi="Arial"/>
          <w:b w:val="false"/>
          <w:bCs w:val="false"/>
          <w:i w:val="false"/>
          <w:iCs w:val="false"/>
          <w:sz w:val="21"/>
          <w:szCs w:val="21"/>
        </w:rPr>
        <w:t xml:space="preserve">Prior art systems have made suboptimal trade-offs: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1200"/>
        <w:gridCol w:w="1200"/>
        <w:gridCol w:w="1240"/>
      </w:tblGrid>
      <w:tr>
        <w:tc>
          <w:tcPr>
            <w:tcW w:type="dxa" w:w="22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r>
              <w:rPr>
                <w:rFonts w:ascii="Arial" w:cs="Arial" w:eastAsia="Arial" w:hAnsi="Arial"/>
                <w:b/>
                <w:bCs/>
                <w:color w:val="FFFFFF"/>
                <w:sz w:val="22"/>
                <w:szCs w:val="22"/>
              </w:rPr>
              <w:t xml:space="preserve">Prior Art</w:t>
            </w:r>
          </w:p>
        </w:tc>
        <w:tc>
          <w:tcPr>
            <w:tcW w:type="dxa" w:w="14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r>
              <w:rPr>
                <w:rFonts w:ascii="Arial" w:cs="Arial" w:eastAsia="Arial" w:hAnsi="Arial"/>
                <w:b/>
                <w:bCs/>
                <w:color w:val="FFFFFF"/>
                <w:sz w:val="22"/>
                <w:szCs w:val="22"/>
              </w:rPr>
              <w:t xml:space="preserve">IC Proof</w:t>
            </w:r>
          </w:p>
        </w:tc>
        <w:tc>
          <w:tcPr>
            <w:tcW w:type="dxa" w:w="12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r>
              <w:rPr>
                <w:rFonts w:ascii="Arial" w:cs="Arial" w:eastAsia="Arial" w:hAnsi="Arial"/>
                <w:b/>
                <w:bCs/>
                <w:color w:val="FFFFFF"/>
                <w:sz w:val="22"/>
                <w:szCs w:val="22"/>
              </w:rPr>
              <w:t xml:space="preserve">IR+BB</w:t>
            </w:r>
          </w:p>
        </w:tc>
        <w:tc>
          <w:tcPr>
            <w:tcW w:type="dxa" w:w="14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r>
              <w:rPr>
                <w:rFonts w:ascii="Arial" w:cs="Arial" w:eastAsia="Arial" w:hAnsi="Arial"/>
                <w:b/>
                <w:bCs/>
                <w:color w:val="FFFFFF"/>
                <w:sz w:val="22"/>
                <w:szCs w:val="22"/>
              </w:rPr>
              <w:t xml:space="preserve">Token Peg</w:t>
            </w:r>
          </w:p>
        </w:tc>
        <w:tc>
          <w:tcPr>
            <w:tcW w:type="dxa" w:w="12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r>
              <w:rPr>
                <w:rFonts w:ascii="Arial" w:cs="Arial" w:eastAsia="Arial" w:hAnsi="Arial"/>
                <w:b/>
                <w:bCs/>
                <w:color w:val="FFFFFF"/>
                <w:sz w:val="22"/>
                <w:szCs w:val="22"/>
              </w:rPr>
              <w:t xml:space="preserve">L2 Chain</w:t>
            </w:r>
          </w:p>
        </w:tc>
        <w:tc>
          <w:tcPr>
            <w:tcW w:type="dxa" w:w="12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r>
              <w:rPr>
                <w:rFonts w:ascii="Arial" w:cs="Arial" w:eastAsia="Arial" w:hAnsi="Arial"/>
                <w:b/>
                <w:bCs/>
                <w:color w:val="FFFFFF"/>
                <w:sz w:val="22"/>
                <w:szCs w:val="22"/>
              </w:rPr>
              <w:t xml:space="preserve">Alloc. Eff.</w:t>
            </w:r>
          </w:p>
        </w:tc>
        <w:tc>
          <w:tcPr>
            <w:tcW w:type="dxa" w:w="124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r>
              <w:rPr>
                <w:rFonts w:ascii="Arial" w:cs="Arial" w:eastAsia="Arial" w:hAnsi="Arial"/>
                <w:b/>
                <w:bCs/>
                <w:color w:val="FFFFFF"/>
                <w:sz w:val="22"/>
                <w:szCs w:val="22"/>
              </w:rPr>
              <w:t xml:space="preserve">Limitation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Brooklyn Microgrid (Mengelkamp 2018)</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N/R</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Eth L1 gas $2+/tx; no truthfulness guarantee</w:t>
            </w:r>
          </w:p>
        </w:tc>
      </w:tr>
      <w:tr>
        <w:tc>
          <w:tcPr>
            <w:tcW w:type="dxa" w:w="2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Wang et al. (2017)</w:t>
            </w:r>
          </w:p>
        </w:tc>
        <w:tc>
          <w:tcPr>
            <w:tcW w:type="dxa" w:w="14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4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88.4%</w:t>
            </w:r>
          </w:p>
        </w:tc>
        <w:tc>
          <w:tcPr>
            <w:tcW w:type="dxa" w:w="124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Weak Nash, not DSIC</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Yan et al. (2022)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Partial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93.1%</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 BB proof; no on-chain settlement</w:t>
            </w:r>
          </w:p>
        </w:tc>
      </w:tr>
      <w:tr>
        <w:tc>
          <w:tcPr>
            <w:tcW w:type="dxa" w:w="2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Khorasany et al. (2020)</w:t>
            </w:r>
          </w:p>
        </w:tc>
        <w:tc>
          <w:tcPr>
            <w:tcW w:type="dxa" w:w="14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Partial</w:t>
            </w:r>
          </w:p>
        </w:tc>
        <w:tc>
          <w:tcPr>
            <w:tcW w:type="dxa" w:w="1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4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91.2%</w:t>
            </w:r>
          </w:p>
        </w:tc>
        <w:tc>
          <w:tcPr>
            <w:tcW w:type="dxa" w:w="124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Restrictive distributional assumptions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Kim et al. (2023)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Claimed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None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N/R</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Only 200 agents; no peg validation</w:t>
            </w:r>
          </w:p>
        </w:tc>
      </w:tr>
    </w:tbl>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A survey of 127 blockchain-based energy systems confirms that fewer than 8% include formal incentive compatibility analysis and none validate a commodity-backed token peg. No prior system unifies formal mechanism proofs, on-chain settlement, and a validated energy-pegged token.</w:t>
      </w:r>
    </w:p>
    <w:p>
      <w:pPr>
        <w:pStyle w:val="Heading1"/>
        <w:spacing w:before="300" w:after="200"/>
      </w:pPr>
      <w:r>
        <w:rPr>
          <w:rFonts w:ascii="Arial" w:cs="Arial" w:eastAsia="Arial" w:hAnsi="Arial"/>
        </w:rPr>
        <w:t xml:space="preserve">7. Problem to be Solved</w:t>
      </w:r>
    </w:p>
    <w:p>
      <w:pPr>
        <w:spacing w:after="120"/>
      </w:pPr>
      <w:r>
        <w:rPr>
          <w:rFonts w:ascii="Arial" w:cs="Arial" w:eastAsia="Arial" w:hAnsi="Arial"/>
          <w:b w:val="false"/>
          <w:bCs w:val="false"/>
          <w:i w:val="false"/>
          <w:iCs w:val="false"/>
          <w:sz w:val="21"/>
          <w:szCs w:val="21"/>
        </w:rPr>
        <w:t xml:space="preserve">The core technical problem is: How can electric vehicle owners be enabled to sell stored battery energy to the power grid or to other consumers in a manner that is simultaneously (a) truthful (no participant can gain by lying about their energy price), (b) safe (no participant can lose money by participating), (c) self-sustaining (the platform operator never needs external subsidy to cover payments), and (d) settled without a trusted intermediary (clearing and payment happen automatically through smart contracts on a blockchain)?</w:t>
      </w:r>
    </w:p>
    <w:p>
      <w:pPr>
        <w:spacing w:after="120"/>
      </w:pPr>
      <w:r>
        <w:rPr>
          <w:rFonts w:ascii="Arial" w:cs="Arial" w:eastAsia="Arial" w:hAnsi="Arial"/>
          <w:b w:val="false"/>
          <w:bCs w:val="false"/>
          <w:i w:val="false"/>
          <w:iCs w:val="false"/>
          <w:sz w:val="21"/>
          <w:szCs w:val="21"/>
        </w:rPr>
        <w:t xml:space="preserve">Existing approaches solve at most two of these four properties. Blockchain-based platforms clear trades using auction rules with weak or unproven game-theoretic properties. Auction designs with strong formal guarantees have not been implemented with on-chain settlement or with tokens that are verifiably pegged to physical energy units. The invention addresses this precise gap.</w:t>
      </w:r>
    </w:p>
    <w:p>
      <w:pPr>
        <w:pStyle w:val="Heading1"/>
        <w:spacing w:before="300" w:after="200"/>
      </w:pPr>
      <w:r>
        <w:rPr>
          <w:rFonts w:ascii="Arial" w:cs="Arial" w:eastAsia="Arial" w:hAnsi="Arial"/>
        </w:rPr>
        <w:t xml:space="preserve">8. Aim / Object of Invention</w:t>
      </w:r>
    </w:p>
    <w:p>
      <w:pPr>
        <w:spacing w:after="120"/>
      </w:pPr>
      <w:r>
        <w:rPr>
          <w:rFonts w:ascii="Arial" w:cs="Arial" w:eastAsia="Arial" w:hAnsi="Arial"/>
          <w:b w:val="false"/>
          <w:bCs w:val="false"/>
          <w:i w:val="false"/>
          <w:iCs w:val="false"/>
          <w:sz w:val="21"/>
          <w:szCs w:val="21"/>
        </w:rPr>
        <w:t xml:space="preserve">The primary object of the invention is to provide a system and method for vehicle-to-grid energy trading that pairs a McAfee double auction clearing mechanism with Layer-2 blockchain settlement, such that the combined system provably satisfies dominant-strategy incentive compatibility, ex-post individual rationality, and strong budget balance while achieving allocative efficiency above 95%.</w:t>
      </w:r>
    </w:p>
    <w:p>
      <w:pPr>
        <w:spacing w:after="120"/>
      </w:pPr>
      <w:r>
        <w:rPr>
          <w:rFonts w:ascii="Arial" w:cs="Arial" w:eastAsia="Arial" w:hAnsi="Arial"/>
          <w:b w:val="false"/>
          <w:bCs w:val="false"/>
          <w:i w:val="false"/>
          <w:iCs w:val="false"/>
          <w:sz w:val="21"/>
          <w:szCs w:val="21"/>
        </w:rPr>
        <w:t xml:space="preserve">A further object is to provide an energy-pegged cryptographic token (SHAKTI token) whose mint-on-delivery and burn-on-redemption lifecycle enforces a verifiable 1:1 correspondence between each token in circulation and one kilowatt-hour of physical energy, maintaining peg deviation below 1%.</w:t>
      </w:r>
    </w:p>
    <w:p>
      <w:pPr>
        <w:spacing w:after="120"/>
      </w:pPr>
      <w:r>
        <w:rPr>
          <w:rFonts w:ascii="Arial" w:cs="Arial" w:eastAsia="Arial" w:hAnsi="Arial"/>
          <w:b w:val="false"/>
          <w:bCs w:val="false"/>
          <w:i w:val="false"/>
          <w:iCs w:val="false"/>
          <w:sz w:val="21"/>
          <w:szCs w:val="21"/>
        </w:rPr>
        <w:t xml:space="preserve">A still further object is to provide machine-learning-assisted bid optimisation (using a Soft Actor-Critic reinforcement learning agent) and demand forecasting (using a Temporal Fusion Transformer) that enable participants to automatically set optimal bids while accounting for battery degradation, state-of-charge, and India-specific grid conditions (city-level load profiles, DISCOM tariff schedules, festival patterns, monsoon seasonality).</w:t>
      </w:r>
    </w:p>
    <w:p>
      <w:pPr>
        <w:pStyle w:val="Heading1"/>
        <w:spacing w:before="300" w:after="200"/>
      </w:pPr>
      <w:r>
        <w:rPr>
          <w:rFonts w:ascii="Arial" w:cs="Arial" w:eastAsia="Arial" w:hAnsi="Arial"/>
        </w:rPr>
        <w:t xml:space="preserve">9. Summary of Invention</w:t>
      </w:r>
    </w:p>
    <w:p>
      <w:pPr>
        <w:pStyle w:val="Heading2"/>
        <w:spacing w:before="300" w:after="200"/>
      </w:pPr>
      <w:r>
        <w:rPr>
          <w:rFonts w:ascii="Arial" w:cs="Arial" w:eastAsia="Arial" w:hAnsi="Arial"/>
        </w:rPr>
        <w:t xml:space="preserve">9.1 What the Invention Does (Plain Language for Attorney)</w:t>
      </w:r>
    </w:p>
    <w:p>
      <w:pPr>
        <w:spacing w:after="120"/>
      </w:pPr>
      <w:r>
        <w:rPr>
          <w:rFonts w:ascii="Arial" w:cs="Arial" w:eastAsia="Arial" w:hAnsi="Arial"/>
          <w:b w:val="false"/>
          <w:bCs w:val="false"/>
          <w:i w:val="false"/>
          <w:iCs w:val="false"/>
          <w:sz w:val="21"/>
          <w:szCs w:val="21"/>
        </w:rPr>
        <w:t xml:space="preserve">Imagine millions of electric cars parked across India, each with a half-full battery. During evening peak hours when the electricity grid is strained, these cars could sell their stored energy back to the grid or directly to neighbours who need power. The invention is the complete platform that makes this possible.</w:t>
      </w:r>
    </w:p>
    <w:p>
      <w:pPr>
        <w:spacing w:after="120"/>
      </w:pPr>
      <w:r>
        <w:rPr>
          <w:rFonts w:ascii="Arial" w:cs="Arial" w:eastAsia="Arial" w:hAnsi="Arial"/>
          <w:b w:val="false"/>
          <w:bCs w:val="false"/>
          <w:i w:val="false"/>
          <w:iCs w:val="false"/>
          <w:sz w:val="21"/>
          <w:szCs w:val="21"/>
        </w:rPr>
        <w:t xml:space="preserve">The platform works like an automated stock exchange, but for electricity. Every 15 minutes, EV owners and energy buyers submit sealed bids (how much they are willing to pay or accept per unit of energy). The platform runs a specific mathematical auction procedure called a McAfee double auction that determines who trades with whom and at what price. The key property of this auction is that every participant's best strategy is to bid honestly. There is no gaming, no manipulation. And the platform never needs to subsidise any trade from its own pocket.</w:t>
      </w:r>
    </w:p>
    <w:p>
      <w:pPr>
        <w:spacing w:after="120"/>
      </w:pPr>
      <w:r>
        <w:rPr>
          <w:rFonts w:ascii="Arial" w:cs="Arial" w:eastAsia="Arial" w:hAnsi="Arial"/>
          <w:b w:val="false"/>
          <w:bCs w:val="false"/>
          <w:i w:val="false"/>
          <w:iCs w:val="false"/>
          <w:sz w:val="21"/>
          <w:szCs w:val="21"/>
        </w:rPr>
        <w:t xml:space="preserve">Once the auction determines the trades, payment happens instantly and automatically on a blockchain (specifically, the Polygon network, a fast and cheap extension of the Ethereum blockchain). Instead of using rupees directly, the platform uses a special digital token called SHAKTI. Each SHAKTI token is created only when a seller actually delivers energy to the grid, and destroyed when a buyer redeems it. This means the number of tokens in circulation always equals the amount of active energy being traded, maintaining a perfect 1:1 peg to physical kilowatt-hours.</w:t>
      </w:r>
    </w:p>
    <w:p>
      <w:pPr>
        <w:spacing w:after="120"/>
      </w:pPr>
      <w:r>
        <w:rPr>
          <w:rFonts w:ascii="Arial" w:cs="Arial" w:eastAsia="Arial" w:hAnsi="Arial"/>
          <w:b w:val="false"/>
          <w:bCs w:val="false"/>
          <w:i w:val="false"/>
          <w:iCs w:val="false"/>
          <w:sz w:val="21"/>
          <w:szCs w:val="21"/>
        </w:rPr>
        <w:t xml:space="preserve">Two artificial intelligence components help participants: a forecasting model that predicts local energy demand up to 24 hours ahead (accounting for Indian festivals, monsoon patterns, city-specific consumption), and a trading agent that learns optimal bidding strategies while protecting each vehicle's battery from excessive degradation.</w:t>
      </w:r>
    </w:p>
    <w:p>
      <w:pPr>
        <w:pStyle w:val="Heading2"/>
        <w:spacing w:before="300" w:after="200"/>
      </w:pPr>
      <w:r>
        <w:rPr>
          <w:rFonts w:ascii="Arial" w:cs="Arial" w:eastAsia="Arial" w:hAnsi="Arial"/>
        </w:rPr>
        <w:t xml:space="preserve">9.2 The Novel Technical Architecture</w:t>
      </w:r>
    </w:p>
    <w:p>
      <w:pPr>
        <w:spacing w:after="120"/>
      </w:pPr>
      <w:r>
        <w:rPr>
          <w:rFonts w:ascii="Arial" w:cs="Arial" w:eastAsia="Arial" w:hAnsi="Arial"/>
          <w:b w:val="false"/>
          <w:bCs w:val="false"/>
          <w:i w:val="false"/>
          <w:iCs w:val="false"/>
          <w:sz w:val="21"/>
          <w:szCs w:val="21"/>
        </w:rPr>
        <w:t xml:space="preserve">The system is organised into four layers:</w:t>
      </w:r>
    </w:p>
    <w:p>
      <w:pPr>
        <w:spacing w:after="120"/>
      </w:pPr>
      <w:r>
        <w:rPr>
          <w:rFonts w:ascii="Arial" w:cs="Arial" w:eastAsia="Arial" w:hAnsi="Arial"/>
          <w:b w:val="false"/>
          <w:bCs w:val="false"/>
          <w:i w:val="false"/>
          <w:iCs w:val="false"/>
          <w:sz w:val="21"/>
          <w:szCs w:val="21"/>
        </w:rPr>
        <w:t xml:space="preserve">Layer 1 (Settlement Layer): Three smart contracts on the Polygon proof-of-stake blockchain handle all financial settlement. ShaktiToken.sol is the ERC-20 token contract with controlled mint and burn functions. EnergyMarket.sol executes auction clearing and atomic (all-or-nothing) settlement of matched trades. PriceOracle.sol integrates a Chainlink decentralised oracle for real-time INR/kWh reference pricing.</w:t>
      </w:r>
    </w:p>
    <w:p>
      <w:pPr>
        <w:spacing w:after="120"/>
      </w:pPr>
      <w:r>
        <w:rPr>
          <w:rFonts w:ascii="Arial" w:cs="Arial" w:eastAsia="Arial" w:hAnsi="Arial"/>
          <w:b w:val="false"/>
          <w:bCs w:val="false"/>
          <w:i w:val="false"/>
          <w:iCs w:val="false"/>
          <w:sz w:val="21"/>
          <w:szCs w:val="21"/>
        </w:rPr>
        <w:t xml:space="preserve">Layer 2 (Market Layer): The off-chain McAfee auction engine, implemented as a FastAPI microservice backed by PostgreSQL with TimescaleDB, clears markets every 15 minutes aligned with India's national load dispatch cycle. A commit-reveal scheme prevents front-running: participants first submit a cryptographic hash of their bid, then reveal the actual bid 30 seconds before clearing. Mismatched reveals result in collateral slashing.</w:t>
      </w:r>
    </w:p>
    <w:p>
      <w:pPr>
        <w:spacing w:after="120"/>
      </w:pPr>
      <w:r>
        <w:rPr>
          <w:rFonts w:ascii="Arial" w:cs="Arial" w:eastAsia="Arial" w:hAnsi="Arial"/>
          <w:b w:val="false"/>
          <w:bCs w:val="false"/>
          <w:i w:val="false"/>
          <w:iCs w:val="false"/>
          <w:sz w:val="21"/>
          <w:szCs w:val="21"/>
        </w:rPr>
        <w:t xml:space="preserve">Layer 3 (Intelligence Layer): A Temporal Fusion Transformer (TFT) produces probabilistic demand forecasts at four time horizons. A Soft Actor-Critic (SAC) reinforcement learning agent optimises bidding strategies over a continuous four-dimensional action space (price offset, quantity, aggressiveness, and submission timing).</w:t>
      </w:r>
    </w:p>
    <w:p>
      <w:pPr>
        <w:spacing w:after="120"/>
      </w:pPr>
      <w:r>
        <w:rPr>
          <w:rFonts w:ascii="Arial" w:cs="Arial" w:eastAsia="Arial" w:hAnsi="Arial"/>
          <w:b w:val="false"/>
          <w:bCs w:val="false"/>
          <w:i w:val="false"/>
          <w:iCs w:val="false"/>
          <w:sz w:val="21"/>
          <w:szCs w:val="21"/>
        </w:rPr>
        <w:t xml:space="preserve">Layer 4 (Application Layer): A React 18 dashboard serves EV owners, fleet operators, and DISCOM administrators. MetaMask wallet integration enables blockchain interactions. WebSocket relay provides real-time settlement notifications.</w:t>
      </w:r>
    </w:p>
    <w:p>
      <w:pPr>
        <w:pStyle w:val="Heading2"/>
        <w:spacing w:before="300" w:after="200"/>
      </w:pPr>
      <w:r>
        <w:rPr>
          <w:rFonts w:ascii="Arial" w:cs="Arial" w:eastAsia="Arial" w:hAnsi="Arial"/>
        </w:rPr>
        <w:t xml:space="preserve">9.3 The Mathematical Guarantee (The Core Innovation)</w:t>
      </w:r>
    </w:p>
    <w:p>
      <w:pPr>
        <w:spacing w:after="120"/>
      </w:pPr>
      <w:r>
        <w:rPr>
          <w:rFonts w:ascii="Arial" w:cs="Arial" w:eastAsia="Arial" w:hAnsi="Arial"/>
          <w:b w:val="false"/>
          <w:bCs w:val="false"/>
          <w:i w:val="false"/>
          <w:iCs w:val="false"/>
          <w:sz w:val="21"/>
          <w:szCs w:val="21"/>
        </w:rPr>
        <w:t xml:space="preserve">The central inventive contribution is the formal proof that the McAfee double auction, as specifically instantiated for V2G energy clearing with the Indian tariff band and city-specific distribution parameters, satisfies four theorems:</w:t>
      </w:r>
    </w:p>
    <w:p>
      <w:pPr>
        <w:spacing w:after="120"/>
      </w:pPr>
      <w:r>
        <w:rPr>
          <w:rFonts w:ascii="Arial" w:cs="Arial" w:eastAsia="Arial" w:hAnsi="Arial"/>
          <w:b w:val="false"/>
          <w:bCs w:val="false"/>
          <w:i w:val="false"/>
          <w:iCs w:val="false"/>
          <w:sz w:val="21"/>
          <w:szCs w:val="21"/>
        </w:rPr>
        <w:t xml:space="preserve">Theorem 1 (Dominant-Strategy Incentive Compatibility): Truthful price reporting is a weakly dominant strategy for every participant. No one can benefit by lying about their energy price, regardless of what anyone else does.</w:t>
      </w:r>
    </w:p>
    <w:p>
      <w:pPr>
        <w:spacing w:after="120"/>
      </w:pPr>
      <w:r>
        <w:rPr>
          <w:rFonts w:ascii="Arial" w:cs="Arial" w:eastAsia="Arial" w:hAnsi="Arial"/>
          <w:b w:val="false"/>
          <w:bCs w:val="false"/>
          <w:i w:val="false"/>
          <w:iCs w:val="false"/>
          <w:sz w:val="21"/>
          <w:szCs w:val="21"/>
        </w:rPr>
        <w:t xml:space="preserve">Theorem 2 (Ex-Post Individual Rationality): Every matched participant achieves non-negative utility. No buyer pays more than their valuation; no seller receives less than their cost. No one can lose money.</w:t>
      </w:r>
    </w:p>
    <w:p>
      <w:pPr>
        <w:spacing w:after="120"/>
      </w:pPr>
      <w:r>
        <w:rPr>
          <w:rFonts w:ascii="Arial" w:cs="Arial" w:eastAsia="Arial" w:hAnsi="Arial"/>
          <w:b w:val="false"/>
          <w:bCs w:val="false"/>
          <w:i w:val="false"/>
          <w:iCs w:val="false"/>
          <w:sz w:val="21"/>
          <w:szCs w:val="21"/>
        </w:rPr>
        <w:t xml:space="preserve">Theorem 3 (Strong Budget Balance): The platform operator's revenue is always non-negative. The system never requires external subsidy.</w:t>
      </w:r>
    </w:p>
    <w:p>
      <w:pPr>
        <w:spacing w:after="120"/>
      </w:pPr>
      <w:r>
        <w:rPr>
          <w:rFonts w:ascii="Arial" w:cs="Arial" w:eastAsia="Arial" w:hAnsi="Arial"/>
          <w:b w:val="false"/>
          <w:bCs w:val="false"/>
          <w:i w:val="false"/>
          <w:iCs w:val="false"/>
          <w:sz w:val="21"/>
          <w:szCs w:val="21"/>
        </w:rPr>
        <w:t xml:space="preserve">Theorem 4 (Allocative Efficiency Bound): The mechanism achieves welfare within a quantifiable bound of the theoretical optimum, with the bound converging to 100% as the market grows. This theorem extends the standard McAfee bound to handle the non-monotone surplus sequences and grid-balance constraints specific to V2G markets.</w:t>
      </w:r>
    </w:p>
    <w:p>
      <w:pPr>
        <w:spacing w:after="120"/>
      </w:pPr>
      <w:r>
        <w:rPr>
          <w:rFonts w:ascii="Arial" w:cs="Arial" w:eastAsia="Arial" w:hAnsi="Arial"/>
          <w:b w:val="false"/>
          <w:bCs w:val="false"/>
          <w:i w:val="false"/>
          <w:iCs w:val="false"/>
          <w:sz w:val="21"/>
          <w:szCs w:val="21"/>
        </w:rPr>
        <w:t xml:space="preserve">Proposition 5 (Token Peg Stability): The SHAKTI token maintains its 1:1 kWh peg under three conditions: mint-burn conservation, oracle liveness, and bounded staking ratio.</w:t>
      </w:r>
    </w:p>
    <w:p>
      <w:pPr>
        <w:pStyle w:val="Heading2"/>
        <w:spacing w:before="300" w:after="200"/>
      </w:pPr>
      <w:r>
        <w:rPr>
          <w:rFonts w:ascii="Arial" w:cs="Arial" w:eastAsia="Arial" w:hAnsi="Arial"/>
        </w:rPr>
        <w:t xml:space="preserve">9.4 Validated Performance</w:t>
      </w:r>
    </w:p>
    <w:p>
      <w:pPr>
        <w:spacing w:after="120"/>
      </w:pPr>
      <w:r>
        <w:rPr>
          <w:rFonts w:ascii="Arial" w:cs="Arial" w:eastAsia="Arial" w:hAnsi="Arial"/>
          <w:b w:val="false"/>
          <w:bCs w:val="false"/>
          <w:i w:val="false"/>
          <w:iCs w:val="false"/>
          <w:sz w:val="21"/>
          <w:szCs w:val="21"/>
        </w:rPr>
        <w:t xml:space="preserve">Simulations with 2,000 agents across five Indian cities (Delhi, Mumbai, Bangalore, Chennai, Kolkata) validated the platform against 12 pre-registered hypotheses. Key results: 97.3% allocative efficiency, 18.7% participant ROI over time-of-use baselines, 12,847 transactions per second throughput, INR 0.47 per transaction gas cost (vs. INR 350+ on Ethereum mainnet), and 0.007% token-peg deviation.</w:t>
      </w:r>
    </w:p>
    <w:p>
      <w:pPr>
        <w:pStyle w:val="Heading1"/>
        <w:spacing w:before="300" w:after="200"/>
      </w:pPr>
      <w:r>
        <w:rPr>
          <w:rFonts w:ascii="Arial" w:cs="Arial" w:eastAsia="Arial" w:hAnsi="Arial"/>
        </w:rPr>
        <w:t xml:space="preserve">10. Brief Description of Drawings</w:t>
      </w:r>
    </w:p>
    <w:p>
      <w:pPr>
        <w:spacing w:after="200"/>
      </w:pPr>
      <w:r>
        <w:rPr>
          <w:rFonts w:ascii="Arial" w:cs="Arial" w:eastAsia="Arial" w:hAnsi="Arial"/>
          <w:b w:val="false"/>
          <w:bCs w:val="false"/>
          <w:i w:val="false"/>
          <w:iCs w:val="false"/>
          <w:sz w:val="21"/>
          <w:szCs w:val="21"/>
        </w:rPr>
        <w:t xml:space="preserve">Drawing 1 (System Architecture Diagram): Shows the four-layer SHAKTI-CHAIN architecture. Layer 1 at the bottom shows the Polygon blockchain settlement layer with three smart contracts (ShaktiToken, EnergyMarket, PriceOracle) connected to a Chainlink Oracle. Layer 2 shows the market layer with the McAfee Auction Engine, Order Book (priority queues), Clearing Service (15-minute epochs), and Settlement Batcher. Layer 3 shows the intelligence layer with TFT Forecaster, SAC Trading Agent, Feature Store (TimescaleDB), and Model Registry. Layer 4 at the top shows the application layer with React Dashboard, MetaMask Wallet, DISCOM Admin Portal, and WebSocket Relay. Solid arrows indicate synchronous calls; dashed arrows indicate asynchronous events. Users (EV Owners/Fleets and DISCOMs) interact through Layer 4.</w:t>
      </w:r>
    </w:p>
    <w:p>
      <w:pPr>
        <w:spacing w:after="200"/>
      </w:pPr>
      <w:r>
        <w:rPr>
          <w:rFonts w:ascii="Arial" w:cs="Arial" w:eastAsia="Arial" w:hAnsi="Arial"/>
          <w:b w:val="false"/>
          <w:bCs w:val="false"/>
          <w:i w:val="false"/>
          <w:iCs w:val="false"/>
          <w:sz w:val="21"/>
          <w:szCs w:val="21"/>
        </w:rPr>
        <w:t xml:space="preserve">Drawing 2 (McAfee Double Auction Clearing Illustration): Shows a graphical representation of the auction clearing on a 15-agent example market. The X-axis represents rank index (participant rank). The Y-axis represents price in INR/kWh. A descending curve of buyer bids (solid line with circles) intersects a rising curve of seller asks (dashed line with triangles) at the break-even index k*=13. The shaded region between the two curves represents the realised social welfare W. The marginal excluded pair (marked with crosses) sets the clearing price p*=6.6 INR/kWh.</w:t>
      </w:r>
    </w:p>
    <w:p>
      <w:pPr>
        <w:spacing w:after="200"/>
      </w:pPr>
      <w:r>
        <w:rPr>
          <w:rFonts w:ascii="Arial" w:cs="Arial" w:eastAsia="Arial" w:hAnsi="Arial"/>
          <w:b w:val="false"/>
          <w:bCs w:val="false"/>
          <w:i w:val="false"/>
          <w:iCs w:val="false"/>
          <w:sz w:val="21"/>
          <w:szCs w:val="21"/>
        </w:rPr>
        <w:t xml:space="preserve">Drawing 3 (Auction Clearing Cycle Flowchart): Shows the four-phase clearing cycle as Algorithm 2. Phase 1: sealed order collection during the 15-minute epoch. Phase 2: reveal at 30 seconds before clearing with cryptographic hash verification. Phase 3: priority queue construction (max-heap for bids, min-heap for asks), McAfee clearing, ABI-packed encoding, and on-chain settlement via EnergyMarket.settleBatch(). Phase 4: confirmation via settlement event emission and WebSocket relay to subscribers.</w:t>
      </w:r>
    </w:p>
    <w:p>
      <w:pPr>
        <w:spacing w:after="200"/>
      </w:pPr>
      <w:r>
        <w:rPr>
          <w:rFonts w:ascii="Arial" w:cs="Arial" w:eastAsia="Arial" w:hAnsi="Arial"/>
          <w:b w:val="false"/>
          <w:bCs w:val="false"/>
          <w:i w:val="false"/>
          <w:iCs w:val="false"/>
          <w:sz w:val="21"/>
          <w:szCs w:val="21"/>
        </w:rPr>
        <w:t xml:space="preserve">Drawing 4 (Allocative Efficiency Over Time): Shows allocative efficiency (Y-axis, 0.90-1.00) versus clearing round number (X-axis, 0-10,000). A shaded band represents the 95% confidence interval across 10 independent runs. A horizontal dashed line marks the 95% acceptance threshold. The mechanism stabilises above 96% within 500 rounds and achieves a mean of 97.3%.</w:t>
      </w:r>
    </w:p>
    <w:p>
      <w:pPr>
        <w:spacing w:after="200"/>
      </w:pPr>
      <w:r>
        <w:rPr>
          <w:rFonts w:ascii="Arial" w:cs="Arial" w:eastAsia="Arial" w:hAnsi="Arial"/>
          <w:b w:val="false"/>
          <w:bCs w:val="false"/>
          <w:i w:val="false"/>
          <w:iCs w:val="false"/>
          <w:sz w:val="21"/>
          <w:szCs w:val="21"/>
        </w:rPr>
        <w:t xml:space="preserve">Drawing 5 (Clearing Price Convergence): Shows clearing price in INR/kWh (Y-axis) versus clearing round (X-axis, 0-50). The mean price converges to the competitive equilibrium price within 12 rounds. A 95% confidence band narrows rapidly, confirming price discovery stability.</w:t>
      </w:r>
    </w:p>
    <w:p>
      <w:pPr>
        <w:spacing w:after="200"/>
      </w:pPr>
      <w:r>
        <w:rPr>
          <w:rFonts w:ascii="Arial" w:cs="Arial" w:eastAsia="Arial" w:hAnsi="Arial"/>
          <w:b w:val="false"/>
          <w:bCs w:val="false"/>
          <w:i w:val="false"/>
          <w:iCs w:val="false"/>
          <w:sz w:val="21"/>
          <w:szCs w:val="21"/>
        </w:rPr>
        <w:t xml:space="preserve">Drawing 6 (Coalition Surplus Extraction): Shows excess surplus extraction percentage (Y-axis) versus coalition size (X-axis, 1-8). Individual deviators (k=1) extract approximately 0%, confirming DSIC. Surplus grows with coalition size, exceeding the 10% threshold at k=5. This honestly reports the structural limitation.</w:t>
      </w:r>
    </w:p>
    <w:p>
      <w:pPr>
        <w:spacing w:after="200"/>
      </w:pPr>
      <w:r>
        <w:rPr>
          <w:rFonts w:ascii="Arial" w:cs="Arial" w:eastAsia="Arial" w:hAnsi="Arial"/>
          <w:b w:val="false"/>
          <w:bCs w:val="false"/>
          <w:i w:val="false"/>
          <w:iCs w:val="false"/>
          <w:sz w:val="21"/>
          <w:szCs w:val="21"/>
        </w:rPr>
        <w:t xml:space="preserve">Drawing 7 (City-wise ROI Distribution): Box plots showing participant ROI distribution across five Indian cities (Delhi, Mumbai, Bangalore, Chennai, Kolkata). All cities achieve median ROI above the 15% acceptance threshold, with Kolkata showing wider variance due to fewer agents.</w:t>
      </w:r>
    </w:p>
    <w:p>
      <w:pPr>
        <w:spacing w:after="200"/>
      </w:pPr>
      <w:r>
        <w:rPr>
          <w:rFonts w:ascii="Arial" w:cs="Arial" w:eastAsia="Arial" w:hAnsi="Arial"/>
          <w:b w:val="false"/>
          <w:bCs w:val="false"/>
          <w:i w:val="false"/>
          <w:iCs w:val="false"/>
          <w:sz w:val="21"/>
          <w:szCs w:val="21"/>
        </w:rPr>
        <w:t xml:space="preserve">Drawing 8 (Token Lifecycle Diagram – to be prepared): Should depict the mint-on-delivery and burn-on-redemption lifecycle of the SHAKTI token, showing: seller delivers energy → oracle confirms delivery → ShaktiToken.mintForEnergy() creates tokens → tokens transferred to buyer → buyer redeems for grid energy or fiat → ShaktiToken.burnOnRedeem() destroys tokens. Shows circulating supply M(t) tracking active energy in the trading pipeline.</w:t>
      </w:r>
    </w:p>
    <w:p>
      <w:r>
        <w:br w:type="page"/>
      </w:r>
    </w:p>
    <w:p>
      <w:pPr>
        <w:pStyle w:val="Heading1"/>
        <w:spacing w:before="300" w:after="200"/>
      </w:pPr>
      <w:r>
        <w:rPr>
          <w:rFonts w:ascii="Arial" w:cs="Arial" w:eastAsia="Arial" w:hAnsi="Arial"/>
        </w:rPr>
        <w:t xml:space="preserve">11. Detailed Description of the Invention</w:t>
      </w:r>
    </w:p>
    <w:p>
      <w:pPr>
        <w:pStyle w:val="Heading2"/>
        <w:spacing w:before="300" w:after="200"/>
      </w:pPr>
      <w:r>
        <w:rPr>
          <w:rFonts w:ascii="Arial" w:cs="Arial" w:eastAsia="Arial" w:hAnsi="Arial"/>
        </w:rPr>
        <w:t xml:space="preserve">11.1 Overview of the Problem Domain</w:t>
      </w:r>
    </w:p>
    <w:p>
      <w:pPr>
        <w:spacing w:after="120"/>
      </w:pPr>
      <w:r>
        <w:rPr>
          <w:rFonts w:ascii="Arial" w:cs="Arial" w:eastAsia="Arial" w:hAnsi="Arial"/>
          <w:b w:val="false"/>
          <w:bCs w:val="false"/>
          <w:i w:val="false"/>
          <w:iCs w:val="false"/>
          <w:sz w:val="21"/>
          <w:szCs w:val="21"/>
        </w:rPr>
        <w:t xml:space="preserve">The invention addresses the complete absence of a settlement-ready, incentive-compatible marketplace for vehicle-to-grid energy trading in India. While bidirectional power electronics exist at pilot scale, no prior system combines formally proven market-clearing guarantees with trustless on-chain settlement and a physically-backed digital token.</w:t>
      </w:r>
    </w:p>
    <w:p>
      <w:pPr>
        <w:pStyle w:val="Heading2"/>
        <w:spacing w:before="300" w:after="200"/>
      </w:pPr>
      <w:r>
        <w:rPr>
          <w:rFonts w:ascii="Arial" w:cs="Arial" w:eastAsia="Arial" w:hAnsi="Arial"/>
        </w:rPr>
        <w:t xml:space="preserve">11.2 System Model</w:t>
      </w:r>
    </w:p>
    <w:p>
      <w:pPr>
        <w:spacing w:after="120"/>
      </w:pPr>
      <w:r>
        <w:rPr>
          <w:rFonts w:ascii="Arial" w:cs="Arial" w:eastAsia="Arial" w:hAnsi="Arial"/>
          <w:b w:val="false"/>
          <w:bCs w:val="false"/>
          <w:i w:val="false"/>
          <w:iCs w:val="false"/>
          <w:sz w:val="21"/>
          <w:szCs w:val="21"/>
        </w:rPr>
        <w:t xml:space="preserve">The system operates over discrete 5-minute epochs. A set of N registered prosumers (simultaneously producers and consumers) each hold a private type representing their marginal value (for buyers) or marginal cost (for sellers) per kilowatt-hour of energy. This private type is drawn from the Indian wholesale-to-retail tariff band of INR 3-12/kWh, with city-specific distributions calibrated to historical national load dispatch data.</w:t>
      </w:r>
    </w:p>
    <w:p>
      <w:pPr>
        <w:spacing w:after="120"/>
      </w:pPr>
      <w:r>
        <w:rPr>
          <w:rFonts w:ascii="Arial" w:cs="Arial" w:eastAsia="Arial" w:hAnsi="Arial"/>
          <w:b w:val="false"/>
          <w:bCs w:val="false"/>
          <w:i w:val="false"/>
          <w:iCs w:val="false"/>
          <w:sz w:val="21"/>
          <w:szCs w:val="21"/>
        </w:rPr>
        <w:t xml:space="preserve">At each epoch, each prosumer's role (buyer or seller) is determined dynamically by their battery state of charge. If a prosumer's battery charge exceeds their configured threshold and discharge is profitable, they become a seller; otherwise, a buyer. Each prosumer then submits a strategy consisting of a quantity (how much energy to trade) and a price (what they report as their per-kWh valuation).</w:t>
      </w:r>
    </w:p>
    <w:p>
      <w:pPr>
        <w:spacing w:after="120"/>
      </w:pPr>
      <w:r>
        <w:rPr>
          <w:rFonts w:ascii="Arial" w:cs="Arial" w:eastAsia="Arial" w:hAnsi="Arial"/>
          <w:b w:val="false"/>
          <w:bCs w:val="false"/>
          <w:i w:val="false"/>
          <w:iCs w:val="false"/>
          <w:sz w:val="21"/>
          <w:szCs w:val="21"/>
        </w:rPr>
        <w:t xml:space="preserve">The system enforces energy balance: the sum of all energy injections and withdrawals must equal grid import plus residual mismatch absorbed by ancillary reserves. Violations trigger automatic curtailment.</w:t>
      </w:r>
    </w:p>
    <w:p>
      <w:pPr>
        <w:pStyle w:val="Heading2"/>
        <w:spacing w:before="300" w:after="200"/>
      </w:pPr>
      <w:r>
        <w:rPr>
          <w:rFonts w:ascii="Arial" w:cs="Arial" w:eastAsia="Arial" w:hAnsi="Arial"/>
        </w:rPr>
        <w:t xml:space="preserve">11.3 The McAfee Double Auction Mechanism</w:t>
      </w:r>
    </w:p>
    <w:p>
      <w:pPr>
        <w:spacing w:after="120"/>
      </w:pPr>
      <w:r>
        <w:rPr>
          <w:rFonts w:ascii="Arial" w:cs="Arial" w:eastAsia="Arial" w:hAnsi="Arial"/>
          <w:b w:val="false"/>
          <w:bCs w:val="false"/>
          <w:i w:val="false"/>
          <w:iCs w:val="false"/>
          <w:sz w:val="21"/>
          <w:szCs w:val="21"/>
        </w:rPr>
        <w:t xml:space="preserve">This is the core of the invention. At each clearing epoch, buyer bids are sorted in descending order and seller asks in ascending order. The break-even index k* is computed as the largest index at which the k-th highest bid exceeds or equals the k-th lowest ask. A candidate clearing price is computed as the midpoint of the marginal excluded pair (the (k*+1)-th bid and ask).</w:t>
      </w:r>
    </w:p>
    <w:p>
      <w:pPr>
        <w:spacing w:after="120"/>
      </w:pPr>
      <w:r>
        <w:rPr>
          <w:rFonts w:ascii="Arial" w:cs="Arial" w:eastAsia="Arial" w:hAnsi="Arial"/>
          <w:b w:val="false"/>
          <w:bCs w:val="false"/>
          <w:i w:val="false"/>
          <w:iCs w:val="false"/>
          <w:sz w:val="21"/>
          <w:szCs w:val="21"/>
        </w:rPr>
        <w:t xml:space="preserve">Two cases arise. Case 1 (Efficient Clearing): If the k*-th ask is at or below the candidate price, and the candidate price is at or below the k*-th bid, then all k* matched pairs trade at the uniform candidate price. Case 2 (Budget-Balanced Clearing): If Case 1 fails, then k*-1 trades execute, with each buyer paying their own bid and each seller receiving their own ask. The platform retains the non-negative surplus.</w:t>
      </w:r>
    </w:p>
    <w:p>
      <w:pPr>
        <w:spacing w:after="120"/>
      </w:pPr>
      <w:r>
        <w:rPr>
          <w:rFonts w:ascii="Arial" w:cs="Arial" w:eastAsia="Arial" w:hAnsi="Arial"/>
          <w:b w:val="false"/>
          <w:bCs w:val="false"/>
          <w:i w:val="false"/>
          <w:iCs w:val="false"/>
          <w:sz w:val="21"/>
          <w:szCs w:val="21"/>
        </w:rPr>
        <w:t xml:space="preserve">This mechanism, originally described by McAfee (1992), sacrifices at most one efficient trade per round to preserve all three remaining desirable properties (truthfulness, no-loss guarantee, and self-sustainability). The invention extends and implements this mechanism specifically for V2G energy markets with Indian grid constraints.</w:t>
      </w:r>
    </w:p>
    <w:p>
      <w:pPr>
        <w:pStyle w:val="Heading2"/>
        <w:spacing w:before="300" w:after="200"/>
      </w:pPr>
      <w:r>
        <w:rPr>
          <w:rFonts w:ascii="Arial" w:cs="Arial" w:eastAsia="Arial" w:hAnsi="Arial"/>
        </w:rPr>
        <w:t xml:space="preserve">11.4 Front-Running Prevention</w:t>
      </w:r>
    </w:p>
    <w:p>
      <w:pPr>
        <w:spacing w:after="120"/>
      </w:pPr>
      <w:r>
        <w:rPr>
          <w:rFonts w:ascii="Arial" w:cs="Arial" w:eastAsia="Arial" w:hAnsi="Arial"/>
          <w:b w:val="false"/>
          <w:bCs w:val="false"/>
          <w:i w:val="false"/>
          <w:iCs w:val="false"/>
          <w:sz w:val="21"/>
          <w:szCs w:val="21"/>
        </w:rPr>
        <w:t xml:space="preserve">To prevent participants from observing others' bids before submitting their own, the invention employs a two-phase commit-reveal scheme. In the commit phase, each prosumer submits a cryptographic hash (keccak256) of their price, quantity, and a random nonce. In the reveal phase (triggered 30 seconds before clearing), they disclose the actual values for on-chain verification. If the revealed values do not match the committed hash, the participant's staked collateral is slashed and their order is rejected.</w:t>
      </w:r>
    </w:p>
    <w:p>
      <w:pPr>
        <w:pStyle w:val="Heading2"/>
        <w:spacing w:before="300" w:after="200"/>
      </w:pPr>
      <w:r>
        <w:rPr>
          <w:rFonts w:ascii="Arial" w:cs="Arial" w:eastAsia="Arial" w:hAnsi="Arial"/>
        </w:rPr>
        <w:t xml:space="preserve">11.5 Blockchain Settlement</w:t>
      </w:r>
    </w:p>
    <w:p>
      <w:pPr>
        <w:spacing w:after="120"/>
      </w:pPr>
      <w:r>
        <w:rPr>
          <w:rFonts w:ascii="Arial" w:cs="Arial" w:eastAsia="Arial" w:hAnsi="Arial"/>
          <w:b w:val="false"/>
          <w:bCs w:val="false"/>
          <w:i w:val="false"/>
          <w:iCs w:val="false"/>
          <w:sz w:val="21"/>
          <w:szCs w:val="21"/>
        </w:rPr>
        <w:t xml:space="preserve">All matched trades are batched into a single on-chain transaction (EnergyMarket.settleBatch()) to amortise the base gas overhead. Calldata is compressed via ABI-packed encoding, reducing per-trade data from 128 to 44 bytes. Minimal-proxy (EIP-1167) clones create per-epoch market instances, saving approximately 90% in deployment gas. The full settlement cycle completes within approximately 4 seconds (2 seconds for Polygon finality plus 2 seconds for off-chain processing), well within the 15-minute epoch window.</w:t>
      </w:r>
    </w:p>
    <w:p>
      <w:pPr>
        <w:spacing w:after="120"/>
      </w:pPr>
      <w:r>
        <w:rPr>
          <w:rFonts w:ascii="Arial" w:cs="Arial" w:eastAsia="Arial" w:hAnsi="Arial"/>
          <w:b w:val="false"/>
          <w:bCs w:val="false"/>
          <w:i w:val="false"/>
          <w:iCs w:val="false"/>
          <w:sz w:val="21"/>
          <w:szCs w:val="21"/>
        </w:rPr>
        <w:t xml:space="preserve">Mean gas cost is INR 0.47 per transaction on Polygon, compared to INR 350+ on Ethereum mainnet.</w:t>
      </w:r>
    </w:p>
    <w:p>
      <w:pPr>
        <w:pStyle w:val="Heading2"/>
        <w:spacing w:before="300" w:after="200"/>
      </w:pPr>
      <w:r>
        <w:rPr>
          <w:rFonts w:ascii="Arial" w:cs="Arial" w:eastAsia="Arial" w:hAnsi="Arial"/>
        </w:rPr>
        <w:t xml:space="preserve">11.6 SHAKTI Token Economics</w:t>
      </w:r>
    </w:p>
    <w:p>
      <w:pPr>
        <w:spacing w:after="120"/>
      </w:pPr>
      <w:r>
        <w:rPr>
          <w:rFonts w:ascii="Arial" w:cs="Arial" w:eastAsia="Arial" w:hAnsi="Arial"/>
          <w:b w:val="false"/>
          <w:bCs w:val="false"/>
          <w:i w:val="false"/>
          <w:iCs w:val="false"/>
          <w:sz w:val="21"/>
          <w:szCs w:val="21"/>
        </w:rPr>
        <w:t xml:space="preserve">The SHAKTI token (ticker: SHKT) is an ERC-20 token on Polygon with two critical lifecycle functions:</w:t>
      </w:r>
    </w:p>
    <w:p>
      <w:pPr>
        <w:spacing w:after="120"/>
      </w:pPr>
      <w:r>
        <w:rPr>
          <w:rFonts w:ascii="Arial" w:cs="Arial" w:eastAsia="Arial" w:hAnsi="Arial"/>
          <w:b w:val="false"/>
          <w:bCs w:val="false"/>
          <w:i w:val="false"/>
          <w:iCs w:val="false"/>
          <w:sz w:val="21"/>
          <w:szCs w:val="21"/>
        </w:rPr>
        <w:t xml:space="preserve">Mint-on-Delivery: When a seller's energy injection is confirmed by the DISCOM integration oracle, the EnergyMarket contract invokes ShaktiToken.mintForEnergy(), creating tokens proportional to the verified kilowatt-hours. Minting authority is restricted to the MINTER_ROLE held exclusively by the audited market contract.</w:t>
      </w:r>
    </w:p>
    <w:p>
      <w:pPr>
        <w:spacing w:after="120"/>
      </w:pPr>
      <w:r>
        <w:rPr>
          <w:rFonts w:ascii="Arial" w:cs="Arial" w:eastAsia="Arial" w:hAnsi="Arial"/>
          <w:b w:val="false"/>
          <w:bCs w:val="false"/>
          <w:i w:val="false"/>
          <w:iCs w:val="false"/>
          <w:sz w:val="21"/>
          <w:szCs w:val="21"/>
        </w:rPr>
        <w:t xml:space="preserve">Burn-on-Redemption: When a buyer redeems tokens for grid energy or a seller withdraws to fiat, the contract executes burnOnRedeem(), permanently removing tokens from circulation.</w:t>
      </w:r>
    </w:p>
    <w:p>
      <w:pPr>
        <w:spacing w:after="120"/>
      </w:pPr>
      <w:r>
        <w:rPr>
          <w:rFonts w:ascii="Arial" w:cs="Arial" w:eastAsia="Arial" w:hAnsi="Arial"/>
          <w:b w:val="false"/>
          <w:bCs w:val="false"/>
          <w:i w:val="false"/>
          <w:iCs w:val="false"/>
          <w:sz w:val="21"/>
          <w:szCs w:val="21"/>
        </w:rPr>
        <w:t xml:space="preserve">This lifecycle ensures that the circulating token supply always tracks the amount of active energy in the trading pipeline, maintaining a 1:1 kWh peg. The macroeconomic dynamics follow a modified Fisher equation adapted for commodity-backed digital currencies, with token velocity governed by staking ratio, aggregate energy volume, and system capacity. Participation requires tier-dependent staking: 100 SHKT for individual EV owners, 1,000 for fleet operators, and 10,000 for aggregators, with a 7-day unstaking cooldown.</w:t>
      </w:r>
    </w:p>
    <w:p>
      <w:pPr>
        <w:pStyle w:val="Heading2"/>
        <w:spacing w:before="300" w:after="200"/>
      </w:pPr>
      <w:r>
        <w:rPr>
          <w:rFonts w:ascii="Arial" w:cs="Arial" w:eastAsia="Arial" w:hAnsi="Arial"/>
        </w:rPr>
        <w:t xml:space="preserve">11.7 Machine Learning Components</w:t>
      </w:r>
    </w:p>
    <w:p>
      <w:pPr>
        <w:spacing w:after="120"/>
      </w:pPr>
      <w:r>
        <w:rPr>
          <w:rFonts w:ascii="Arial" w:cs="Arial" w:eastAsia="Arial" w:hAnsi="Arial"/>
          <w:b w:val="false"/>
          <w:bCs w:val="false"/>
          <w:i w:val="false"/>
          <w:iCs w:val="false"/>
          <w:sz w:val="21"/>
          <w:szCs w:val="21"/>
        </w:rPr>
        <w:t xml:space="preserve">Temporal Fusion Transformer (TFT) for Demand Forecasting: Produces probabilistic demand forecasts at 1, 4, 12, and 24-hour horizons. Ingests a 45-dimensional feature vector including lagged load, weather covariates, calendar indicators, and India-specific inputs (festival flags for Diwali, Holi, Eid, Pongal, Durga Puja; monsoon-season indicator). Achieves 4.2% Mean Absolute Percentage Error.</w:t>
      </w:r>
    </w:p>
    <w:p>
      <w:pPr>
        <w:spacing w:after="120"/>
      </w:pPr>
      <w:r>
        <w:rPr>
          <w:rFonts w:ascii="Arial" w:cs="Arial" w:eastAsia="Arial" w:hAnsi="Arial"/>
          <w:b w:val="false"/>
          <w:bCs w:val="false"/>
          <w:i w:val="false"/>
          <w:iCs w:val="false"/>
          <w:sz w:val="21"/>
          <w:szCs w:val="21"/>
        </w:rPr>
        <w:t xml:space="preserve">Soft Actor-Critic (SAC) Agent for Bid Optimisation: Learns bid and ask policies over a continuous 4-dimensional action space (price offset, quantity, aggressiveness, submission timing). The agent's 47-dimensional state vector concatenates battery state-of-charge, TFT forecasts, historical clearing prices, and DISCOM tariff tiers. The reward function incorporates trade profit, battery degradation cost, state-of-charge penalty, and grid-service contribution. Achieves 18.7% ROI over time-of-use tariff baselines.</w:t>
      </w:r>
    </w:p>
    <w:p>
      <w:pPr>
        <w:pStyle w:val="Heading2"/>
        <w:spacing w:before="300" w:after="200"/>
      </w:pPr>
      <w:r>
        <w:rPr>
          <w:rFonts w:ascii="Arial" w:cs="Arial" w:eastAsia="Arial" w:hAnsi="Arial"/>
        </w:rPr>
        <w:t xml:space="preserve">11.8 India-Specific Adaptations</w:t>
      </w:r>
    </w:p>
    <w:p>
      <w:pPr>
        <w:spacing w:after="120"/>
      </w:pPr>
      <w:r>
        <w:rPr>
          <w:rFonts w:ascii="Arial" w:cs="Arial" w:eastAsia="Arial" w:hAnsi="Arial"/>
          <w:b w:val="false"/>
          <w:bCs w:val="false"/>
          <w:i w:val="false"/>
          <w:iCs w:val="false"/>
          <w:sz w:val="21"/>
          <w:szCs w:val="21"/>
        </w:rPr>
        <w:t xml:space="preserve">City-Level Load Profiles: Demand curves for Delhi, Mumbai, Bangalore, Chennai, and Kolkata are calibrated from three years of national load dispatch 15-minute data, capturing diurnal, seasonal, and festival-driven patterns.</w:t>
      </w:r>
    </w:p>
    <w:p>
      <w:pPr>
        <w:spacing w:after="120"/>
      </w:pPr>
      <w:r>
        <w:rPr>
          <w:rFonts w:ascii="Arial" w:cs="Arial" w:eastAsia="Arial" w:hAnsi="Arial"/>
          <w:b w:val="false"/>
          <w:bCs w:val="false"/>
          <w:i w:val="false"/>
          <w:iCs w:val="false"/>
          <w:sz w:val="21"/>
          <w:szCs w:val="21"/>
        </w:rPr>
        <w:t xml:space="preserve">DISCOM Integration: A middleware adapter exposes a RESTful API conforming to Open Charge Point Protocol (OCPP) 2.0.1 for bidirectional communication with existing charge-point operators.</w:t>
      </w:r>
    </w:p>
    <w:p>
      <w:pPr>
        <w:spacing w:after="120"/>
      </w:pPr>
      <w:r>
        <w:rPr>
          <w:rFonts w:ascii="Arial" w:cs="Arial" w:eastAsia="Arial" w:hAnsi="Arial"/>
          <w:b w:val="false"/>
          <w:bCs w:val="false"/>
          <w:i w:val="false"/>
          <w:iCs w:val="false"/>
          <w:sz w:val="21"/>
          <w:szCs w:val="21"/>
        </w:rPr>
        <w:t xml:space="preserve">Regulatory Compliance: The platform complies with the Electricity Act 2003 and its 2022 Amendment (open access at distribution level), CERC renewable purchase obligation norms (V2G discharge from solar-charged EVs counts toward DISCOM RPO targets), and VDA framework (automated 30% capital-gains tax and 1% TDS withholding at the smart-contract level).</w:t>
      </w:r>
    </w:p>
    <w:p>
      <w:pPr>
        <w:pStyle w:val="Heading2"/>
        <w:spacing w:before="300" w:after="200"/>
      </w:pPr>
      <w:r>
        <w:rPr>
          <w:rFonts w:ascii="Arial" w:cs="Arial" w:eastAsia="Arial" w:hAnsi="Arial"/>
        </w:rPr>
        <w:t xml:space="preserve">11.9 Security Measures</w:t>
      </w:r>
    </w:p>
    <w:p>
      <w:pPr>
        <w:spacing w:after="120"/>
      </w:pPr>
      <w:r>
        <w:rPr>
          <w:rFonts w:ascii="Arial" w:cs="Arial" w:eastAsia="Arial" w:hAnsi="Arial"/>
          <w:b w:val="false"/>
          <w:bCs w:val="false"/>
          <w:i w:val="false"/>
          <w:iCs w:val="false"/>
          <w:sz w:val="21"/>
          <w:szCs w:val="21"/>
        </w:rPr>
        <w:t xml:space="preserve">Sybil attack resistance: Staking requirements and DSIC render pseudonymous attacks unprofitable (mean attacker return of -2.3%). All three smart contracts inherit from OpenZeppelin's audited AccessControl and ReentrancyGuard modules. Static analysis via Slither and symbolic execution via Mythril identified zero high-severity findings. The commit-reveal scheme prevents front-running, and Polygon's PBFT consensus tolerates up to 33% Byzantine validators.</w:t>
      </w:r>
    </w:p>
    <w:p>
      <w:r>
        <w:br w:type="page"/>
      </w:r>
    </w:p>
    <w:p>
      <w:pPr>
        <w:pStyle w:val="Heading1"/>
        <w:spacing w:before="300" w:after="200"/>
      </w:pPr>
      <w:r>
        <w:rPr>
          <w:rFonts w:ascii="Arial" w:cs="Arial" w:eastAsia="Arial" w:hAnsi="Arial"/>
        </w:rPr>
        <w:t xml:space="preserve">12. Claims (Draft – To Be Finalised by Attorney)</w:t>
      </w:r>
    </w:p>
    <w:p>
      <w:pPr>
        <w:spacing w:after="120"/>
      </w:pPr>
      <w:r>
        <w:rPr>
          <w:rFonts w:ascii="Arial" w:cs="Arial" w:eastAsia="Arial" w:hAnsi="Arial"/>
          <w:b w:val="false"/>
          <w:bCs w:val="false"/>
          <w:i/>
          <w:iCs/>
          <w:sz w:val="21"/>
          <w:szCs w:val="21"/>
        </w:rPr>
        <w:t xml:space="preserve">Note to Attorney: The following are proposed claim drafts for your review and techno-legal refinement. The inventors suggest structuring claims around the three core innovations: (1) the auction mechanism with formal properties, (2) the energy-pegged token lifecycle, and (3) the integrated system. Independent system claim 1 and independent method claim 8 should anchor the claim set.</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bCs/>
          <w:i w:val="false"/>
          <w:iCs w:val="false"/>
          <w:sz w:val="21"/>
          <w:szCs w:val="21"/>
        </w:rPr>
        <w:t xml:space="preserve">Proposed Independent Claim 1 (System):</w:t>
      </w:r>
    </w:p>
    <w:p>
      <w:pPr>
        <w:spacing w:after="120"/>
      </w:pPr>
      <w:r>
        <w:rPr>
          <w:rFonts w:ascii="Arial" w:cs="Arial" w:eastAsia="Arial" w:hAnsi="Arial"/>
          <w:b w:val="false"/>
          <w:bCs w:val="false"/>
          <w:i w:val="false"/>
          <w:iCs w:val="false"/>
          <w:sz w:val="21"/>
          <w:szCs w:val="21"/>
        </w:rPr>
        <w:t xml:space="preserve">A system (100) for facilitating decentralised vehicle-to-grid energy trading, the system comprising: one or more processors (202) coupled with a memory (204), wherein said memory stores instructions which, when executed by the one or more processors, cause the system to: receive sealed energy bids from a plurality of electric vehicle prosumers via a commit-reveal cryptographic scheme; execute a McAfee double auction clearing algorithm on the received bids to determine matched trade pairs, clearing prices, and an allocation that satisfies dominant-strategy incentive compatibility, ex-post individual rationality, and strong budget balance simultaneously; settle the matched trades atomically via a settlement batch transaction on a Layer-2 blockchain smart contract; and mint or burn an ERC-20 energy-pegged token in correspondence with verified physical energy delivery and redemption, maintaining a 1:1 token-to-kilowatt-hour peg.</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bCs/>
          <w:i w:val="false"/>
          <w:iCs w:val="false"/>
          <w:sz w:val="21"/>
          <w:szCs w:val="21"/>
        </w:rPr>
        <w:t xml:space="preserve">Proposed Independent Claim 8 (Method):</w:t>
      </w:r>
    </w:p>
    <w:p>
      <w:pPr>
        <w:spacing w:after="120"/>
      </w:pPr>
      <w:r>
        <w:rPr>
          <w:rFonts w:ascii="Arial" w:cs="Arial" w:eastAsia="Arial" w:hAnsi="Arial"/>
          <w:b w:val="false"/>
          <w:bCs w:val="false"/>
          <w:i w:val="false"/>
          <w:iCs w:val="false"/>
          <w:sz w:val="21"/>
          <w:szCs w:val="21"/>
        </w:rPr>
        <w:t xml:space="preserve">A computer-implemented method for facilitating decentralised vehicle-to-grid energy trading, executed by one or more processors (202) of a system (100), the method comprising: collecting, during a clearing epoch, sealed cryptographic commitments of energy bids and asks from a plurality of prosumers; verifying the commitments against revealed bid values using a hash comparison; constructing priority queues of verified bids and asks; computing a break-even index and a candidate clearing price according to a McAfee double auction procedure; executing matched trades at prices that satisfy dominant-strategy incentive compatibility, ex-post individual rationality, and strong budget balance; batching the matched trades into an atomic blockchain settlement transaction; and minting tokens proportional to verified energy delivery and burning tokens upon energy redemption to maintain a 1:1 kilowatt-hour peg.</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bCs/>
          <w:i w:val="false"/>
          <w:iCs w:val="false"/>
          <w:sz w:val="21"/>
          <w:szCs w:val="21"/>
        </w:rPr>
        <w:t xml:space="preserve">Suggested Dependent Claims:</w:t>
      </w:r>
    </w:p>
    <w:p>
      <w:pPr>
        <w:spacing w:after="120"/>
      </w:pPr>
      <w:r>
        <w:rPr>
          <w:rFonts w:ascii="Arial" w:cs="Arial" w:eastAsia="Arial" w:hAnsi="Arial"/>
          <w:b w:val="false"/>
          <w:bCs w:val="false"/>
          <w:i w:val="false"/>
          <w:iCs w:val="false"/>
          <w:sz w:val="21"/>
          <w:szCs w:val="21"/>
        </w:rPr>
        <w:t xml:space="preserve">Claim 2: The system of claim 1, wherein the commit-reveal scheme comprises submitting a keccak256 hash of a concatenation of price, quantity, and nonce, with collateral slashing upon hash mismatch.</w:t>
      </w:r>
    </w:p>
    <w:p>
      <w:pPr>
        <w:spacing w:after="120"/>
      </w:pPr>
      <w:r>
        <w:rPr>
          <w:rFonts w:ascii="Arial" w:cs="Arial" w:eastAsia="Arial" w:hAnsi="Arial"/>
          <w:b w:val="false"/>
          <w:bCs w:val="false"/>
          <w:i w:val="false"/>
          <w:iCs w:val="false"/>
          <w:sz w:val="21"/>
          <w:szCs w:val="21"/>
        </w:rPr>
        <w:t xml:space="preserve">Claim 3: The system of claim 1, wherein the Layer-2 blockchain is a Polygon proof-of-stake network with settlement finality of approximately 2 seconds.</w:t>
      </w:r>
    </w:p>
    <w:p>
      <w:pPr>
        <w:spacing w:after="120"/>
      </w:pPr>
      <w:r>
        <w:rPr>
          <w:rFonts w:ascii="Arial" w:cs="Arial" w:eastAsia="Arial" w:hAnsi="Arial"/>
          <w:b w:val="false"/>
          <w:bCs w:val="false"/>
          <w:i w:val="false"/>
          <w:iCs w:val="false"/>
          <w:sz w:val="21"/>
          <w:szCs w:val="21"/>
        </w:rPr>
        <w:t xml:space="preserve">Claim 4: The system of claim 1, further comprising a Temporal Fusion Transformer neural network that produces probabilistic demand forecasts incorporating India-specific features including festival flags and monsoon indicators.</w:t>
      </w:r>
    </w:p>
    <w:p>
      <w:pPr>
        <w:spacing w:after="120"/>
      </w:pPr>
      <w:r>
        <w:rPr>
          <w:rFonts w:ascii="Arial" w:cs="Arial" w:eastAsia="Arial" w:hAnsi="Arial"/>
          <w:b w:val="false"/>
          <w:bCs w:val="false"/>
          <w:i w:val="false"/>
          <w:iCs w:val="false"/>
          <w:sz w:val="21"/>
          <w:szCs w:val="21"/>
        </w:rPr>
        <w:t xml:space="preserve">Claim 5: The system of claim 1, further comprising a Soft Actor-Critic reinforcement learning agent that optimises bid strategies over a continuous action space while penalising battery degradation.</w:t>
      </w:r>
    </w:p>
    <w:p>
      <w:pPr>
        <w:spacing w:after="120"/>
      </w:pPr>
      <w:r>
        <w:rPr>
          <w:rFonts w:ascii="Arial" w:cs="Arial" w:eastAsia="Arial" w:hAnsi="Arial"/>
          <w:b w:val="false"/>
          <w:bCs w:val="false"/>
          <w:i w:val="false"/>
          <w:iCs w:val="false"/>
          <w:sz w:val="21"/>
          <w:szCs w:val="21"/>
        </w:rPr>
        <w:t xml:space="preserve">Claim 6: The system of claim 1, wherein the token minting is restricted to a MINTER_ROLE held exclusively by an audited market contract, and the token supply tracks active energy in the trading pipeline according to a modified Fisher equation.</w:t>
      </w:r>
    </w:p>
    <w:p>
      <w:pPr>
        <w:spacing w:after="120"/>
      </w:pPr>
      <w:r>
        <w:rPr>
          <w:rFonts w:ascii="Arial" w:cs="Arial" w:eastAsia="Arial" w:hAnsi="Arial"/>
          <w:b w:val="false"/>
          <w:bCs w:val="false"/>
          <w:i w:val="false"/>
          <w:iCs w:val="false"/>
          <w:sz w:val="21"/>
          <w:szCs w:val="21"/>
        </w:rPr>
        <w:t xml:space="preserve">Claim 7: The system of claim 1, wherein participation requires tier-dependent token staking with slashing conditions including energy delivery failure, commit-reveal mismatch, and repeated order cancellation.</w:t>
      </w:r>
    </w:p>
    <w:p>
      <w:pPr>
        <w:pStyle w:val="Heading1"/>
        <w:spacing w:before="300" w:after="200"/>
      </w:pPr>
      <w:r>
        <w:rPr>
          <w:rFonts w:ascii="Arial" w:cs="Arial" w:eastAsia="Arial" w:hAnsi="Arial"/>
        </w:rPr>
        <w:t xml:space="preserve">13. Drawings</w:t>
      </w:r>
    </w:p>
    <w:p>
      <w:pPr>
        <w:spacing w:after="120"/>
      </w:pPr>
      <w:r>
        <w:rPr>
          <w:rFonts w:ascii="Arial" w:cs="Arial" w:eastAsia="Arial" w:hAnsi="Arial"/>
          <w:b w:val="false"/>
          <w:bCs w:val="false"/>
          <w:i w:val="false"/>
          <w:iCs w:val="false"/>
          <w:sz w:val="21"/>
          <w:szCs w:val="21"/>
        </w:rPr>
        <w:t xml:space="preserve">The following drawings are attached separately (from the published paper and to be prepared in patent-format):</w:t>
      </w:r>
    </w:p>
    <w:p>
      <w:pPr>
        <w:spacing w:after="120"/>
      </w:pPr>
      <w:r>
        <w:rPr>
          <w:rFonts w:ascii="Arial" w:cs="Arial" w:eastAsia="Arial" w:hAnsi="Arial"/>
          <w:b w:val="false"/>
          <w:bCs w:val="false"/>
          <w:i w:val="false"/>
          <w:iCs w:val="false"/>
          <w:sz w:val="21"/>
          <w:szCs w:val="21"/>
        </w:rPr>
        <w:t xml:space="preserve">Drawing 1: Four-layer system architecture diagram (Figure 2 of the paper)</w:t>
      </w:r>
    </w:p>
    <w:p>
      <w:pPr>
        <w:spacing w:after="120"/>
      </w:pPr>
      <w:r>
        <w:rPr>
          <w:rFonts w:ascii="Arial" w:cs="Arial" w:eastAsia="Arial" w:hAnsi="Arial"/>
          <w:b w:val="false"/>
          <w:bCs w:val="false"/>
          <w:i w:val="false"/>
          <w:iCs w:val="false"/>
          <w:sz w:val="21"/>
          <w:szCs w:val="21"/>
        </w:rPr>
        <w:t xml:space="preserve">Drawing 2: McAfee double-auction clearing illustration (Figure 1 of the paper)</w:t>
      </w:r>
    </w:p>
    <w:p>
      <w:pPr>
        <w:spacing w:after="120"/>
      </w:pPr>
      <w:r>
        <w:rPr>
          <w:rFonts w:ascii="Arial" w:cs="Arial" w:eastAsia="Arial" w:hAnsi="Arial"/>
          <w:b w:val="false"/>
          <w:bCs w:val="false"/>
          <w:i w:val="false"/>
          <w:iCs w:val="false"/>
          <w:sz w:val="21"/>
          <w:szCs w:val="21"/>
        </w:rPr>
        <w:t xml:space="preserve">Drawing 3: Auction clearing cycle flowchart (Algorithm 2 of the paper)</w:t>
      </w:r>
    </w:p>
    <w:p>
      <w:pPr>
        <w:spacing w:after="120"/>
      </w:pPr>
      <w:r>
        <w:rPr>
          <w:rFonts w:ascii="Arial" w:cs="Arial" w:eastAsia="Arial" w:hAnsi="Arial"/>
          <w:b w:val="false"/>
          <w:bCs w:val="false"/>
          <w:i w:val="false"/>
          <w:iCs w:val="false"/>
          <w:sz w:val="21"/>
          <w:szCs w:val="21"/>
        </w:rPr>
        <w:t xml:space="preserve">Drawing 4: Allocative efficiency over time (Figure 3 of the paper)</w:t>
      </w:r>
    </w:p>
    <w:p>
      <w:pPr>
        <w:spacing w:after="120"/>
      </w:pPr>
      <w:r>
        <w:rPr>
          <w:rFonts w:ascii="Arial" w:cs="Arial" w:eastAsia="Arial" w:hAnsi="Arial"/>
          <w:b w:val="false"/>
          <w:bCs w:val="false"/>
          <w:i w:val="false"/>
          <w:iCs w:val="false"/>
          <w:sz w:val="21"/>
          <w:szCs w:val="21"/>
        </w:rPr>
        <w:t xml:space="preserve">Drawing 5: Clearing price convergence (Figure 4 of the paper)</w:t>
      </w:r>
    </w:p>
    <w:p>
      <w:pPr>
        <w:spacing w:after="120"/>
      </w:pPr>
      <w:r>
        <w:rPr>
          <w:rFonts w:ascii="Arial" w:cs="Arial" w:eastAsia="Arial" w:hAnsi="Arial"/>
          <w:b w:val="false"/>
          <w:bCs w:val="false"/>
          <w:i w:val="false"/>
          <w:iCs w:val="false"/>
          <w:sz w:val="21"/>
          <w:szCs w:val="21"/>
        </w:rPr>
        <w:t xml:space="preserve">Drawing 6: Coalition surplus extraction by coalition size (Figure 5 of the paper)</w:t>
      </w:r>
    </w:p>
    <w:p>
      <w:pPr>
        <w:spacing w:after="120"/>
      </w:pPr>
      <w:r>
        <w:rPr>
          <w:rFonts w:ascii="Arial" w:cs="Arial" w:eastAsia="Arial" w:hAnsi="Arial"/>
          <w:b w:val="false"/>
          <w:bCs w:val="false"/>
          <w:i w:val="false"/>
          <w:iCs w:val="false"/>
          <w:sz w:val="21"/>
          <w:szCs w:val="21"/>
        </w:rPr>
        <w:t xml:space="preserve">Drawing 7: City-wise ROI distribution (Figure 6 of the paper)</w:t>
      </w:r>
    </w:p>
    <w:p>
      <w:pPr>
        <w:spacing w:after="120"/>
      </w:pPr>
      <w:r>
        <w:rPr>
          <w:rFonts w:ascii="Arial" w:cs="Arial" w:eastAsia="Arial" w:hAnsi="Arial"/>
          <w:b w:val="false"/>
          <w:bCs w:val="false"/>
          <w:i w:val="false"/>
          <w:iCs w:val="false"/>
          <w:sz w:val="21"/>
          <w:szCs w:val="21"/>
        </w:rPr>
        <w:t xml:space="preserve">Drawing 8: Token lifecycle diagram (to be prepared, showing mint/burn flow)</w:t>
      </w:r>
    </w:p>
    <w:p>
      <w:pPr>
        <w:spacing w:after="120"/>
      </w:pPr>
      <w:r>
        <w:rPr>
          <w:rFonts w:ascii="Arial" w:cs="Arial" w:eastAsia="Arial" w:hAnsi="Arial"/>
          <w:b w:val="false"/>
          <w:bCs w:val="false"/>
          <w:i w:val="false"/>
          <w:iCs w:val="false"/>
          <w:sz w:val="21"/>
          <w:szCs w:val="21"/>
        </w:rPr>
        <w:t xml:space="preserve">Drawing 9: Prosumer role-switching logic flowchart (to be prepared from Equation 1)</w:t>
      </w:r>
    </w:p>
    <w:p>
      <w:pPr>
        <w:spacing w:after="120"/>
      </w:pPr>
      <w:r>
        <w:rPr>
          <w:rFonts w:ascii="Arial" w:cs="Arial" w:eastAsia="Arial" w:hAnsi="Arial"/>
          <w:b w:val="false"/>
          <w:bCs w:val="false"/>
          <w:i/>
          <w:iCs/>
          <w:sz w:val="21"/>
          <w:szCs w:val="21"/>
        </w:rPr>
        <w:t xml:space="preserve">Note: Reference numerals should be added by the attorney's draughtsperson in accordance with patent office requirements. The paper figures provide the technical content; formal patent drawings with numbered elements need to be prepared.</w:t>
      </w:r>
    </w:p>
    <w:p>
      <w:pPr>
        <w:pStyle w:val="Heading1"/>
        <w:spacing w:before="300" w:after="200"/>
      </w:pPr>
      <w:r>
        <w:rPr>
          <w:rFonts w:ascii="Arial" w:cs="Arial" w:eastAsia="Arial" w:hAnsi="Arial"/>
        </w:rPr>
        <w:t xml:space="preserve">14. Abstract (148 words)</w:t>
      </w:r>
    </w:p>
    <w:p>
      <w:pPr>
        <w:spacing w:after="120"/>
      </w:pPr>
      <w:r>
        <w:rPr>
          <w:rFonts w:ascii="Arial" w:cs="Arial" w:eastAsia="Arial" w:hAnsi="Arial"/>
          <w:b w:val="false"/>
          <w:bCs w:val="false"/>
          <w:i w:val="false"/>
          <w:iCs w:val="false"/>
          <w:sz w:val="21"/>
          <w:szCs w:val="21"/>
        </w:rPr>
        <w:t xml:space="preserve">A system and method for decentralised vehicle-to-grid (V2G) energy trading that combines a McAfee double auction clearing mechanism with Layer-2 blockchain settlement and an energy-pegged cryptographic token. The system (100) receives sealed energy bids from electric vehicle prosumers via a commit-reveal scheme, executes McAfee double-auction clearing that provably satisfies dominant-strategy incentive compatibility, ex-post individual rationality, and strong budget balance, and settles matched trades atomically on a Polygon blockchain via smart contracts. An ERC-20 SHAKTI token with a mint-on-delivery and burn-on-redemption lifecycle enforces a verified 1:1 kilowatt-hour peg. Machine learning components including a Temporal Fusion Transformer for demand forecasting and a Soft Actor-Critic agent for bid optimisation support the auction. Simulations with 2,000 agents across five Indian cities achieve 97.3% allocative efficiency and 18.7% participant ROI. (Figure 2)</w:t>
      </w:r>
    </w:p>
    <w:p>
      <w:pPr>
        <w:pStyle w:val="Heading1"/>
        <w:spacing w:before="300" w:after="200"/>
      </w:pPr>
      <w:r>
        <w:rPr>
          <w:rFonts w:ascii="Arial" w:cs="Arial" w:eastAsia="Arial" w:hAnsi="Arial"/>
        </w:rPr>
        <w:t xml:space="preserve">15. Contact Person Details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Name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Dr. Amit Dua</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Designation</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Faculty, Department of CS&amp;IS, BITS Pilani</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Address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Department of Computer Science &amp; Information Systems, BITS Pilani, Vidya Vihar, Pilani, Rajasthan 333031, India</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bCs/>
                <w:sz w:val="21"/>
                <w:szCs w:val="21"/>
              </w:rPr>
              <w:t xml:space="preserve">Phone</w:t>
            </w:r>
          </w:p>
        </w:tc>
        <w:tc>
          <w:tcPr>
            <w:tcW w:type="dxa" w:w="656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[To be provided]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1"/>
                <w:szCs w:val="21"/>
              </w:rPr>
              <w:t xml:space="preserve">Email</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1"/>
                <w:szCs w:val="21"/>
              </w:rPr>
              <w:t xml:space="preserve">amit.dua@pilani.bits-pilani.ac.in</w:t>
            </w:r>
          </w:p>
        </w:tc>
      </w:tr>
    </w:tbl>
    <w:p>
      <w:r>
        <w:br w:type="page"/>
      </w:r>
    </w:p>
    <w:p>
      <w:pPr>
        <w:pStyle w:val="Heading1"/>
        <w:spacing w:before="300" w:after="200"/>
      </w:pPr>
      <w:r>
        <w:rPr>
          <w:rFonts w:ascii="Arial" w:cs="Arial" w:eastAsia="Arial" w:hAnsi="Arial"/>
        </w:rPr>
        <w:t xml:space="preserve">APPENDIX: Anticipated Attorney Questions &amp; Answers</w:t>
      </w:r>
    </w:p>
    <w:p>
      <w:pPr>
        <w:spacing w:after="120"/>
      </w:pPr>
      <w:r>
        <w:rPr>
          <w:rFonts w:ascii="Arial" w:cs="Arial" w:eastAsia="Arial" w:hAnsi="Arial"/>
          <w:b w:val="false"/>
          <w:bCs w:val="false"/>
          <w:i/>
          <w:iCs/>
          <w:sz w:val="21"/>
          <w:szCs w:val="21"/>
        </w:rPr>
        <w:t xml:space="preserve">This section anticipates the questions a patent attorney unfamiliar with the technical domain will likely ask, and provides clear answers.</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Q1: What exactly is being patented here? Is it software?</w:t>
      </w:r>
    </w:p>
    <w:p>
      <w:pPr>
        <w:spacing w:after="120"/>
      </w:pPr>
      <w:r>
        <w:rPr>
          <w:rFonts w:ascii="Arial" w:cs="Arial" w:eastAsia="Arial" w:hAnsi="Arial"/>
          <w:b w:val="false"/>
          <w:bCs w:val="false"/>
          <w:i w:val="false"/>
          <w:iCs w:val="false"/>
          <w:sz w:val="21"/>
          <w:szCs w:val="21"/>
        </w:rPr>
        <w:t xml:space="preserve">Not merely software. The invention is a complete technical system comprising hardware (blockchain nodes, EV charging infrastructure, smart meters), firmware/smart contracts (deployed on the Polygon blockchain), a specific mathematical clearing algorithm (McAfee double auction adapted for V2G), and an economic instrument (the SHAKTI token with its mint/burn lifecycle). The claims recite specific hardware elements (processors, memory, blockchain network, oracle nodes) executing specific technical steps that produce a concrete technical effect: enabling trustless, incentive-compatible energy trading that no existing payment system (including UPI) can achieve. This is analogous to patenting an automated stock exchange with specific clearing rules, not just the software running it.</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Q2: Isn't the McAfee auction a known algorithm from 1992? What is novel?</w:t>
      </w:r>
    </w:p>
    <w:p>
      <w:pPr>
        <w:spacing w:after="120"/>
      </w:pPr>
      <w:r>
        <w:rPr>
          <w:rFonts w:ascii="Arial" w:cs="Arial" w:eastAsia="Arial" w:hAnsi="Arial"/>
          <w:b w:val="false"/>
          <w:bCs w:val="false"/>
          <w:i w:val="false"/>
          <w:iCs w:val="false"/>
          <w:sz w:val="21"/>
          <w:szCs w:val="21"/>
        </w:rPr>
        <w:t xml:space="preserve">Yes, the McAfee double auction is known in economic theory (published 1992). However, the novelty lies in: (a) the specific instantiation and adaptation of this mechanism for V2G energy markets with Indian grid constraints, non-monotone surplus sequences from multi-modal city distributions, and energy-balance constraints that do not arise in standard commodity markets; (b) the combination with blockchain settlement via an atomic batch settlement smart contract; (c) the integration with an energy-pegged token whose lifecycle (mint-on-delivery, burn-on-redemption) is enforced cryptographically; (d) the extension of the standard efficiency bound (Theorem 4) to handle the non-monotone surplus sequences specific to V2G; and (e) the complete end-to-end system with commit-reveal front-running prevention, machine learning components, and India-specific regulatory compliance (automated TDS withholding). No prior art combines these elements. The inventive step is the specific technical arrangement of known and new elements to solve a problem none of them solves individually.</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Q3: How do we handle the Section 3(k) objection? (Computer program per se)</w:t>
      </w:r>
    </w:p>
    <w:p>
      <w:pPr>
        <w:spacing w:after="120"/>
      </w:pPr>
      <w:r>
        <w:rPr>
          <w:rFonts w:ascii="Arial" w:cs="Arial" w:eastAsia="Arial" w:hAnsi="Arial"/>
          <w:b w:val="false"/>
          <w:bCs w:val="false"/>
          <w:i w:val="false"/>
          <w:iCs w:val="false"/>
          <w:sz w:val="21"/>
          <w:szCs w:val="21"/>
        </w:rPr>
        <w:t xml:space="preserve">This is critical for Indian patent prosecution. The invention goes well beyond a computer program per se because: (1) It controls physical hardware (bidirectional EV chargers, smart meters, blockchain validator nodes) and produces a tangible technical effect (electricity flows from vehicle battery to grid). (2) The smart contracts are deployed on a physical distributed network of validator nodes executing consensus protocols. (3) The token minting is triggered by physical energy delivery confirmed by hardware oracles. (4) The system interfaces with physical DISCOM infrastructure via the OCPP 2.0.1 protocol. Under the CRI Guidelines 2017 and the Ericsson v. Intex principle, any invention with a technical contribution or technical effect beyond normal program-hardware interaction is patentable. The invention demonstrably changes the functionality of the power grid infrastructure. The claims should be drafted with explicit hardware limitations (processors, memory, blockchain network, oracle hardware) as seen in the FER response template.</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Q4: What about Section 3(m)? (Mere scheme or method of performing mental act)</w:t>
      </w:r>
    </w:p>
    <w:p>
      <w:pPr>
        <w:spacing w:after="120"/>
      </w:pPr>
      <w:r>
        <w:rPr>
          <w:rFonts w:ascii="Arial" w:cs="Arial" w:eastAsia="Arial" w:hAnsi="Arial"/>
          <w:b w:val="false"/>
          <w:bCs w:val="false"/>
          <w:i w:val="false"/>
          <w:iCs w:val="false"/>
          <w:sz w:val="21"/>
          <w:szCs w:val="21"/>
        </w:rPr>
        <w:t xml:space="preserve">The invention is not a mere scheme. It requires physical computing infrastructure (processors, blockchain nodes, oracle hardware, EV charging equipment) to execute. The auction clearing, token lifecycle management, and energy balance enforcement cannot be performed mentally. The system processes 12,847 transactions per second across 2,000 agents with cryptographic verification at each step. This is a machine-implemented method with industrial application, not a mental act.</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Q5: What about Section 3(d)? (Mere new use of known substance)</w:t>
      </w:r>
    </w:p>
    <w:p>
      <w:pPr>
        <w:spacing w:after="120"/>
      </w:pPr>
      <w:r>
        <w:rPr>
          <w:rFonts w:ascii="Arial" w:cs="Arial" w:eastAsia="Arial" w:hAnsi="Arial"/>
          <w:b w:val="false"/>
          <w:bCs w:val="false"/>
          <w:i w:val="false"/>
          <w:iCs w:val="false"/>
          <w:sz w:val="21"/>
          <w:szCs w:val="21"/>
        </w:rPr>
        <w:t xml:space="preserve">This objection is unlikely but worth pre-empting. The invention is not a new use of a known substance. It is a new technical system with novel architecture, novel token economics, and novel adaptation of auction theory to a domain (V2G) where it has never been deployed with formal proofs. The combination produces new technical effects not achievable by any prior arrangement.</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Q6: Is there a risk of prior art invalidation?</w:t>
      </w:r>
    </w:p>
    <w:p>
      <w:pPr>
        <w:spacing w:after="120"/>
      </w:pPr>
      <w:r>
        <w:rPr>
          <w:rFonts w:ascii="Arial" w:cs="Arial" w:eastAsia="Arial" w:hAnsi="Arial"/>
          <w:b w:val="false"/>
          <w:bCs w:val="false"/>
          <w:i w:val="false"/>
          <w:iCs w:val="false"/>
          <w:sz w:val="21"/>
          <w:szCs w:val="21"/>
        </w:rPr>
        <w:t xml:space="preserve">The paper includes a comprehensive comparison table (Table I) showing that no prior work simultaneously provides: (1) formal IC proof, (2) formal IR+BB proof, (3) validated token peg, (4) Layer-2 blockchain settlement, and (5) pre-registered hypothesis testing. The closest prior art (Yan et al. 2022 with 93.1% efficiency) has only partial IC, no BB proof, no token, and no on-chain settlement. The survey of 127 blockchain energy systems confirms less than 8% include any formal IC analysis. The inventive step is the specific combination and the formal proofs applied to V2G.</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Q7: The paper mentions one hypothesis failed (coalition resistance). Is this a problem?</w:t>
      </w:r>
    </w:p>
    <w:p>
      <w:pPr>
        <w:spacing w:after="120"/>
      </w:pPr>
      <w:r>
        <w:rPr>
          <w:rFonts w:ascii="Arial" w:cs="Arial" w:eastAsia="Arial" w:hAnsi="Arial"/>
          <w:b w:val="false"/>
          <w:bCs w:val="false"/>
          <w:i w:val="false"/>
          <w:iCs w:val="false"/>
          <w:sz w:val="21"/>
          <w:szCs w:val="21"/>
        </w:rPr>
        <w:t xml:space="preserve">No. The failure of hypothesis H12 (five-agent coalitions can extract 12.3% excess surplus) is actually a fundamental impossibility result from mechanism design theory. No budget-balanced, incentive-compatible mechanism can also be coalition-proof. This is like saying no engine can be 100% efficient due to thermodynamic laws. The patent does not claim coalition-proofness. The honest disclosure strengthens rather than weakens the application, as it demonstrates scientific rigour and defines the boundaries of the invention clearly.</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Q8: What is the commercial value / industrial applicability?</w:t>
      </w:r>
    </w:p>
    <w:p>
      <w:pPr>
        <w:spacing w:after="120"/>
      </w:pPr>
      <w:r>
        <w:rPr>
          <w:rFonts w:ascii="Arial" w:cs="Arial" w:eastAsia="Arial" w:hAnsi="Arial"/>
          <w:b w:val="false"/>
          <w:bCs w:val="false"/>
          <w:i w:val="false"/>
          <w:iCs w:val="false"/>
          <w:sz w:val="21"/>
          <w:szCs w:val="21"/>
        </w:rPr>
        <w:t xml:space="preserve">India will have 50+ million EVs by 2030 with 300 GWh of distributed storage. The platform enables: (a) EV owners to earn 18.7% ROI by selling stored energy during peak hours; (b) DISCOMs to defer generation investment by accessing distributed storage; (c) grid operators to improve frequency regulation. A field trial with a partner DISCOM in Rajasthan targeting 500 EV participants is under negotiation. The technology is directly applicable to any country permitting P2P energy trading (UK, Australia, Germany, Japan already have frameworks). Transaction costs are 745x lower than Ethereum mainnet alternatives.</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Q9: Has this been published? Does publication affect patentability?</w:t>
      </w:r>
    </w:p>
    <w:p>
      <w:pPr>
        <w:spacing w:after="120"/>
      </w:pPr>
      <w:r>
        <w:rPr>
          <w:rFonts w:ascii="Arial" w:cs="Arial" w:eastAsia="Arial" w:hAnsi="Arial"/>
          <w:b w:val="false"/>
          <w:bCs w:val="false"/>
          <w:i w:val="false"/>
          <w:iCs w:val="false"/>
          <w:sz w:val="21"/>
          <w:szCs w:val="21"/>
        </w:rPr>
        <w:t xml:space="preserve">A paper has been submitted to IEEE Transactions on Smart Grid (February 2026). Under Indian patent law, the patent application should be filed before or within 12 months of first publication under the grace period provisions. Under US patent law (if international filing is contemplated), there is a 1-year grace period from first public disclosure. It is critical to file the Indian application promptly. If PCT or US filing is intended, it should be filed before the paper is published.</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Q10: What is the blockchain? Why is it needed?</w:t>
      </w:r>
    </w:p>
    <w:p>
      <w:pPr>
        <w:spacing w:after="120"/>
      </w:pPr>
      <w:r>
        <w:rPr>
          <w:rFonts w:ascii="Arial" w:cs="Arial" w:eastAsia="Arial" w:hAnsi="Arial"/>
          <w:b w:val="false"/>
          <w:bCs w:val="false"/>
          <w:i w:val="false"/>
          <w:iCs w:val="false"/>
          <w:sz w:val="21"/>
          <w:szCs w:val="21"/>
        </w:rPr>
        <w:t xml:space="preserve">A blockchain is a distributed digital ledger maintained by many computers (nodes) simultaneously, where no single party can alter records. It is needed here because V2G energy trading involves thousands of strangers buying and selling electricity in small amounts. Without blockchain: a central operator could manipulate prices, payment could be delayed or disputed, and there would be no transparent audit trail. The blockchain provides: (a) trustless settlement (no trusted intermediary needed), (b) atomic transactions (trade either fully completes or fully reverts), (c) programmable money through smart contracts (conditional escrow, automatic slashing), and (d) an immutable audit trail. Layer-2 (Polygon) is used instead of the main Ethereum blockchain because it is 745 times cheaper and 900 times faster.</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Q11: What is a 'token' and why not just use regular money?</w:t>
      </w:r>
    </w:p>
    <w:p>
      <w:pPr>
        <w:spacing w:after="120"/>
      </w:pPr>
      <w:r>
        <w:rPr>
          <w:rFonts w:ascii="Arial" w:cs="Arial" w:eastAsia="Arial" w:hAnsi="Arial"/>
          <w:b w:val="false"/>
          <w:bCs w:val="false"/>
          <w:i w:val="false"/>
          <w:iCs w:val="false"/>
          <w:sz w:val="21"/>
          <w:szCs w:val="21"/>
        </w:rPr>
        <w:t xml:space="preserve">A token is a digital unit of account that lives on a blockchain and can be programmed with rules. The SHAKTI token is like a warehouse receipt for electricity: each token represents exactly 1 kilowatt-hour of energy. It is created (minted) only when a seller physically delivers energy to the grid, and destroyed (burned) when a buyer redeems it. Regular money (rupees via UPI) cannot do this because: (a) UPI cannot conditionally hold funds in escrow, (b) UPI cannot automatically slash deposits for non-delivery, (c) UPI settlement takes 30-60 minutes vs. 2 seconds, and (d) UPI fees consume 5-15% of the tiny transaction values typical of V2G trades. The token solves all four problems.</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Q12: What is 'incentive compatibility' in plain language?</w:t>
      </w:r>
    </w:p>
    <w:p>
      <w:pPr>
        <w:spacing w:after="120"/>
      </w:pPr>
      <w:r>
        <w:rPr>
          <w:rFonts w:ascii="Arial" w:cs="Arial" w:eastAsia="Arial" w:hAnsi="Arial"/>
          <w:b w:val="false"/>
          <w:bCs w:val="false"/>
          <w:i w:val="false"/>
          <w:iCs w:val="false"/>
          <w:sz w:val="21"/>
          <w:szCs w:val="21"/>
        </w:rPr>
        <w:t xml:space="preserve">It means the auction is designed so that every participant's best possible strategy is to bid honestly. If a seller's true cost of discharging their battery is INR 5 per kWh, then bidding INR 5 gives them the best outcome. Trying to inflate to INR 7 or deflate to INR 3 would either reduce their chances of trading or reduce their profit. This is proven mathematically (Theorem 1), not just claimed. It holds regardless of what other participants do, which is called 'dominant strategy' because it dominates all other strategies.</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Q13: What territories should we file in?</w:t>
      </w:r>
    </w:p>
    <w:p>
      <w:pPr>
        <w:spacing w:after="120"/>
      </w:pPr>
      <w:r>
        <w:rPr>
          <w:rFonts w:ascii="Arial" w:cs="Arial" w:eastAsia="Arial" w:hAnsi="Arial"/>
          <w:b w:val="false"/>
          <w:bCs w:val="false"/>
          <w:i w:val="false"/>
          <w:iCs w:val="false"/>
          <w:sz w:val="21"/>
          <w:szCs w:val="21"/>
        </w:rPr>
        <w:t xml:space="preserve">The inventors recommend: (1) India (primary market, regulatory alignment with Electricity Act 2003); (2) PCT filing for international coverage, with national phase entries in key markets with P2P energy trading frameworks: United Kingdom, Australia, Germany, Japan, and the United States. The technology is jurisdiction-agnostic in design but the India-specific adaptations (DISCOM integration, VDA tax compliance, POSOCO load profiles) provide particularly strong claims for the Indian jurisdiction.</w:t>
      </w:r>
    </w:p>
    <w:p>
      <w:pPr>
        <w:spacing w:after="120"/>
      </w:pPr>
      <w:r>
        <w:rPr>
          <w:rFonts w:ascii="Arial" w:cs="Arial" w:eastAsia="Arial" w:hAnsi="Arial"/>
          <w:b w:val="false"/>
          <w:bCs w:val="false"/>
          <w:i w:val="false"/>
          <w:iCs w:val="false"/>
          <w:sz w:val="21"/>
          <w:szCs w:val="21"/>
        </w:rPr>
        <w:t xml:space="preserve"/>
      </w:r>
    </w:p>
    <w:p>
      <w:pPr>
        <w:spacing w:after="120"/>
        <w:jc w:val="left"/>
      </w:pPr>
      <w:r>
        <w:rPr>
          <w:rFonts w:ascii="Arial" w:cs="Arial" w:eastAsia="Arial" w:hAnsi="Arial"/>
          <w:b/>
          <w:bCs/>
          <w:i w:val="false"/>
          <w:iCs w:val="false"/>
          <w:color w:val="1B4F72"/>
          <w:sz w:val="22"/>
          <w:szCs w:val="22"/>
        </w:rPr>
        <w:t xml:space="preserve">Q14: What is the timeline pressure?</w:t>
      </w:r>
    </w:p>
    <w:p>
      <w:pPr>
        <w:spacing w:after="120"/>
      </w:pPr>
      <w:r>
        <w:rPr>
          <w:rFonts w:ascii="Arial" w:cs="Arial" w:eastAsia="Arial" w:hAnsi="Arial"/>
          <w:b w:val="false"/>
          <w:bCs w:val="false"/>
          <w:i w:val="false"/>
          <w:iCs w:val="false"/>
          <w:sz w:val="21"/>
          <w:szCs w:val="21"/>
        </w:rPr>
        <w:t xml:space="preserve">The IEEE paper has been submitted (February 2026). Depending on review timeline, publication could occur within 3-6 months. The Indian provisional application should be filed as soon as possible to establish priority date. If PCT filing is intended, it must be within 12 months of the Indian priority date. The inventors recommend filing the Indian provisional within 2-4 weeks and the complete specification within 12 months thereafter.</w:t>
      </w:r>
    </w:p>
    <w:sectPr>
      <w:headerReference w:type="default" r:id="rId6"/>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val="false"/>
        <w:bCs w:val="false"/>
        <w:i/>
        <w:iCs/>
        <w:color w:val="999999"/>
        <w:sz w:val="16"/>
        <w:szCs w:val="16"/>
      </w:rPr>
      <w:t xml:space="preserve">SHAKTI-CHAIN Patent Intake Sheet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2026-02-19T05:49:43.095Z</dcterms:created>
  <dcterms:modified xsi:type="dcterms:W3CDTF">2026-02-19T05:49:43.097Z</dcterms:modified>
</cp:coreProperties>
</file>

<file path=docProps/custom.xml><?xml version="1.0" encoding="utf-8"?>
<Properties xmlns="http://schemas.openxmlformats.org/officeDocument/2006/custom-properties" xmlns:vt="http://schemas.openxmlformats.org/officeDocument/2006/docPropsVTypes"/>
</file>