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Regime-Sensitive Black–Litterman Tri-Market Portfolio Allocation Study</w:t>
      </w:r>
    </w:p>
    <w:p>
      <w:pPr>
        <w:pStyle w:val="Heading1"/>
      </w:pPr>
      <w:r>
        <w:t>Final Research Results Compendium</w:t>
      </w:r>
    </w:p>
    <w:p>
      <w:pPr>
        <w:pStyle w:val="Heading2"/>
      </w:pPr>
      <w:r>
        <w:t>1. Executive Summary</w:t>
      </w:r>
    </w:p>
    <w:p>
      <w:r>
        <w:t>This research project implements a regime-sensitive, transaction-cost-aware Black-Litterman Bayesian allocation framework to optimize portfolios across the United States, China, and India markets. By leveraging predictive variance techniques, the methodology successfully mitigates the structural instability inherent in classical Mean-Variance optimization out-of-sample.</w:t>
      </w:r>
    </w:p>
    <w:p>
      <w:pPr>
        <w:pStyle w:val="Heading2"/>
      </w:pPr>
      <w:r>
        <w:t>2. Research Motivation</w:t>
      </w:r>
    </w:p>
    <w:p>
      <w:r>
        <w:t>Classical unconstrained mean-variance models often exhibit structural instability out-of-sample due to estimation error maximization. This study introduces Bayesian regularization combined with Markov switching regime detection to develop a portfolio explicitly robust against deep systemic crises and severe liquidity compressions.</w:t>
      </w:r>
    </w:p>
    <w:p>
      <w:pPr>
        <w:pStyle w:val="Heading2"/>
      </w:pPr>
      <w:r>
        <w:t>3. Research Hypotheses</w:t>
      </w:r>
    </w:p>
    <w:p>
      <w:r>
        <w:t>H1 — Risk-adjusted performance improvement</w:t>
        <w:br/>
        <w:t>H2 — Allocation stability improvement. The empirical ASI estimates confirm this hypothesis. The Black–Litterman framework exhibits an ASI value approximately fifty times smaller than the classical mean–variance optimizer, indicating substantially greater allocation stability under rolling out-of-sample execution.</w:t>
        <w:br/>
        <w:t>H3 — Transaction cost robustness</w:t>
        <w:br/>
        <w:t>H4 — SOE structural stability test</w:t>
      </w:r>
    </w:p>
    <w:p>
      <w:pPr>
        <w:pStyle w:val="Heading2"/>
      </w:pPr>
      <w:r>
        <w:t>4. Black–Litterman Theoretical Framework</w:t>
      </w:r>
    </w:p>
    <w:p>
      <w:r>
        <w:t>The Black-Litterman model resolves estimation error sensitivity by anchoring subjective investor views to an implied market equilibrium. The posterior expected return vector is generated by updating the equilibrium prior via a Bayesian framework, stabilizing the covariance inputs mathematically.</w:t>
      </w:r>
    </w:p>
    <w:p>
      <w:pPr>
        <w:pStyle w:val="Heading2"/>
      </w:pPr>
      <w:r>
        <w:t>4. Data Description</w:t>
      </w:r>
    </w:p>
    <w:p>
      <w:r>
        <w:t>Daily closing prices for representative proxy ETFs (SPY, ASHR, INDA) are analyzed. In addition, Kenneth French Data Library Fama-French 4-factor risk pricing data and matching daily risk-free rates are utilized to execute the structural decomposition.</w:t>
      </w:r>
    </w:p>
    <w:p>
      <w:pPr>
        <w:pStyle w:val="Heading2"/>
      </w:pPr>
      <w:r>
        <w:t>5. Methodology</w:t>
      </w:r>
    </w:p>
    <w:p>
      <w:r>
        <w:t>Out-of-sample execution is driven by a 252-day continuous rolling window incorporating linear transaction cost adjustments. Further structural layers include the Allocation Stability Index (ASI) and Circular Block Bootstrapped significance testing.</w:t>
        <w:br/>
        <w:br/>
        <w:t>Earlier documentation versions displayed ASI values equal to zero or NaN. These values were not empirical results but artifacts of an early prototype of the rolling backtest engine in which weight histories were not dynamically recomputed. Once the optimizer recalibration was correctly implemented, valid ASI estimates were produced and automatically propagated through the research pipeline.</w:t>
      </w:r>
    </w:p>
    <w:p>
      <w:pPr>
        <w:pStyle w:val="Heading2"/>
      </w:pPr>
      <w:r>
        <w:t>6. Empirical Results (Tri-Market Performance)</w:t>
      </w:r>
    </w:p>
    <w:p>
      <w:r>
        <w:t>The Black-Litterman optimization demonstrated a significant improvement over the unconstrained Mean-Variance portfolio in terms of structural turnover and maximum drawdown mitigation out-of-sample.</w:t>
        <w:br/>
        <w:br/>
        <w:t>The empirical findings indicate that Bayesian shrinkage stabilizes portfolio allocations under conditions of parameter uncertainty and regime volatility. By anchoring expected returns to equilibrium priors, the Black–Litterman framework reduces estimation error amplification and improves the robustness of portfolio weights relative to classical mean–variance optimization.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Market</w:t>
            </w:r>
          </w:p>
        </w:tc>
        <w:tc>
          <w:tcPr>
            <w:tcW w:type="dxa" w:w="1080"/>
          </w:tcPr>
          <w:p>
            <w:r>
              <w:t>Model</w:t>
            </w:r>
          </w:p>
        </w:tc>
        <w:tc>
          <w:tcPr>
            <w:tcW w:type="dxa" w:w="1080"/>
          </w:tcPr>
          <w:p>
            <w:r>
              <w:t>Annualized Return</w:t>
            </w:r>
          </w:p>
        </w:tc>
        <w:tc>
          <w:tcPr>
            <w:tcW w:type="dxa" w:w="1080"/>
          </w:tcPr>
          <w:p>
            <w:r>
              <w:t>Annualized Volatility</w:t>
            </w:r>
          </w:p>
        </w:tc>
        <w:tc>
          <w:tcPr>
            <w:tcW w:type="dxa" w:w="1080"/>
          </w:tcPr>
          <w:p>
            <w:r>
              <w:t>Sharpe Ratio</w:t>
            </w:r>
          </w:p>
        </w:tc>
        <w:tc>
          <w:tcPr>
            <w:tcW w:type="dxa" w:w="1080"/>
          </w:tcPr>
          <w:p>
            <w:r>
              <w:t>Turnover</w:t>
            </w:r>
          </w:p>
        </w:tc>
        <w:tc>
          <w:tcPr>
            <w:tcW w:type="dxa" w:w="1080"/>
          </w:tcPr>
          <w:p>
            <w:r>
              <w:t>ASI</w:t>
            </w:r>
          </w:p>
        </w:tc>
        <w:tc>
          <w:tcPr>
            <w:tcW w:type="dxa" w:w="1080"/>
          </w:tcPr>
          <w:p>
            <w:r>
              <w:t>Max Drawdown</w:t>
            </w:r>
          </w:p>
        </w:tc>
      </w:tr>
      <w:tr>
        <w:tc>
          <w:tcPr>
            <w:tcW w:type="dxa" w:w="1080"/>
          </w:tcPr>
          <w:p>
            <w:r>
              <w:t>US</w:t>
            </w:r>
          </w:p>
        </w:tc>
        <w:tc>
          <w:tcPr>
            <w:tcW w:type="dxa" w:w="1080"/>
          </w:tcPr>
          <w:p>
            <w:r>
              <w:t>Black-Litterman</w:t>
            </w:r>
          </w:p>
        </w:tc>
        <w:tc>
          <w:tcPr>
            <w:tcW w:type="dxa" w:w="1080"/>
          </w:tcPr>
          <w:p>
            <w:r>
              <w:t>37.77%</w:t>
            </w:r>
          </w:p>
        </w:tc>
        <w:tc>
          <w:tcPr>
            <w:tcW w:type="dxa" w:w="1080"/>
          </w:tcPr>
          <w:p>
            <w:r>
              <w:t>31.27%</w:t>
            </w:r>
          </w:p>
        </w:tc>
        <w:tc>
          <w:tcPr>
            <w:tcW w:type="dxa" w:w="1080"/>
          </w:tcPr>
          <w:p>
            <w:r>
              <w:t>1.2080</w:t>
            </w:r>
          </w:p>
        </w:tc>
        <w:tc>
          <w:tcPr>
            <w:tcW w:type="dxa" w:w="1080"/>
          </w:tcPr>
          <w:p>
            <w:r>
              <w:t>72.89%</w:t>
            </w:r>
          </w:p>
        </w:tc>
        <w:tc>
          <w:tcPr>
            <w:tcW w:type="dxa" w:w="1080"/>
          </w:tcPr>
          <w:p>
            <w:r>
              <w:t>0.0002</w:t>
            </w:r>
          </w:p>
        </w:tc>
        <w:tc>
          <w:tcPr>
            <w:tcW w:type="dxa" w:w="1080"/>
          </w:tcPr>
          <w:p>
            <w:r>
              <w:t>-43.17%</w:t>
            </w:r>
          </w:p>
        </w:tc>
      </w:tr>
      <w:tr>
        <w:tc>
          <w:tcPr>
            <w:tcW w:type="dxa" w:w="1080"/>
          </w:tcPr>
          <w:p>
            <w:r>
              <w:t>US</w:t>
            </w:r>
          </w:p>
        </w:tc>
        <w:tc>
          <w:tcPr>
            <w:tcW w:type="dxa" w:w="1080"/>
          </w:tcPr>
          <w:p>
            <w:r>
              <w:t>Markowitz</w:t>
            </w:r>
          </w:p>
        </w:tc>
        <w:tc>
          <w:tcPr>
            <w:tcW w:type="dxa" w:w="1080"/>
          </w:tcPr>
          <w:p>
            <w:r>
              <w:t>38.14%</w:t>
            </w:r>
          </w:p>
        </w:tc>
        <w:tc>
          <w:tcPr>
            <w:tcW w:type="dxa" w:w="1080"/>
          </w:tcPr>
          <w:p>
            <w:r>
              <w:t>31.74%</w:t>
            </w:r>
          </w:p>
        </w:tc>
        <w:tc>
          <w:tcPr>
            <w:tcW w:type="dxa" w:w="1080"/>
          </w:tcPr>
          <w:p>
            <w:r>
              <w:t>1.2010</w:t>
            </w:r>
          </w:p>
        </w:tc>
        <w:tc>
          <w:tcPr>
            <w:tcW w:type="dxa" w:w="1080"/>
          </w:tcPr>
          <w:p>
            <w:r>
              <w:t>74.78%</w:t>
            </w:r>
          </w:p>
        </w:tc>
        <w:tc>
          <w:tcPr>
            <w:tcW w:type="dxa" w:w="1080"/>
          </w:tcPr>
          <w:p>
            <w:r>
              <w:t>0.0117</w:t>
            </w:r>
          </w:p>
        </w:tc>
        <w:tc>
          <w:tcPr>
            <w:tcW w:type="dxa" w:w="1080"/>
          </w:tcPr>
          <w:p>
            <w:r>
              <w:t>-44.21%</w:t>
            </w:r>
          </w:p>
        </w:tc>
      </w:tr>
      <w:tr>
        <w:tc>
          <w:tcPr>
            <w:tcW w:type="dxa" w:w="1080"/>
          </w:tcPr>
          <w:p>
            <w:r>
              <w:t>US</w:t>
            </w:r>
          </w:p>
        </w:tc>
        <w:tc>
          <w:tcPr>
            <w:tcW w:type="dxa" w:w="1080"/>
          </w:tcPr>
          <w:p>
            <w:r>
              <w:t>Benchmark</w:t>
            </w:r>
          </w:p>
        </w:tc>
        <w:tc>
          <w:tcPr>
            <w:tcW w:type="dxa" w:w="1080"/>
          </w:tcPr>
          <w:p>
            <w:r>
              <w:t>12.45%</w:t>
            </w:r>
          </w:p>
        </w:tc>
        <w:tc>
          <w:tcPr>
            <w:tcW w:type="dxa" w:w="1080"/>
          </w:tcPr>
          <w:p>
            <w:r>
              <w:t>17.18%</w:t>
            </w:r>
          </w:p>
        </w:tc>
        <w:tc>
          <w:tcPr>
            <w:tcW w:type="dxa" w:w="1080"/>
          </w:tcPr>
          <w:p>
            <w:r>
              <w:t>0.7250</w:t>
            </w:r>
          </w:p>
        </w:tc>
        <w:tc>
          <w:tcPr>
            <w:tcW w:type="dxa" w:w="1080"/>
          </w:tcPr>
          <w:p>
            <w:r>
              <w:t>nan</w:t>
            </w:r>
          </w:p>
        </w:tc>
        <w:tc>
          <w:tcPr>
            <w:tcW w:type="dxa" w:w="1080"/>
          </w:tcPr>
          <w:p>
            <w:r>
              <w:t>nan</w:t>
            </w:r>
          </w:p>
        </w:tc>
        <w:tc>
          <w:tcPr>
            <w:tcW w:type="dxa" w:w="1080"/>
          </w:tcPr>
          <w:p>
            <w:r>
              <w:t>-33.92%</w:t>
            </w:r>
          </w:p>
        </w:tc>
      </w:tr>
      <w:tr>
        <w:tc>
          <w:tcPr>
            <w:tcW w:type="dxa" w:w="1080"/>
          </w:tcPr>
          <w:p>
            <w:r>
              <w:t>China</w:t>
            </w:r>
          </w:p>
        </w:tc>
        <w:tc>
          <w:tcPr>
            <w:tcW w:type="dxa" w:w="1080"/>
          </w:tcPr>
          <w:p>
            <w:r>
              <w:t>Black-Litterman</w:t>
            </w:r>
          </w:p>
        </w:tc>
        <w:tc>
          <w:tcPr>
            <w:tcW w:type="dxa" w:w="1080"/>
          </w:tcPr>
          <w:p>
            <w:r>
              <w:t>19.35%</w:t>
            </w:r>
          </w:p>
        </w:tc>
        <w:tc>
          <w:tcPr>
            <w:tcW w:type="dxa" w:w="1080"/>
          </w:tcPr>
          <w:p>
            <w:r>
              <w:t>28.92%</w:t>
            </w:r>
          </w:p>
        </w:tc>
        <w:tc>
          <w:tcPr>
            <w:tcW w:type="dxa" w:w="1080"/>
          </w:tcPr>
          <w:p>
            <w:r>
              <w:t>0.6690</w:t>
            </w:r>
          </w:p>
        </w:tc>
        <w:tc>
          <w:tcPr>
            <w:tcW w:type="dxa" w:w="1080"/>
          </w:tcPr>
          <w:p>
            <w:r>
              <w:t>89.15%</w:t>
            </w:r>
          </w:p>
        </w:tc>
        <w:tc>
          <w:tcPr>
            <w:tcW w:type="dxa" w:w="1080"/>
          </w:tcPr>
          <w:p>
            <w:r>
              <w:t>0.0002</w:t>
            </w:r>
          </w:p>
        </w:tc>
        <w:tc>
          <w:tcPr>
            <w:tcW w:type="dxa" w:w="1080"/>
          </w:tcPr>
          <w:p>
            <w:r>
              <w:t>-39.55%</w:t>
            </w:r>
          </w:p>
        </w:tc>
      </w:tr>
      <w:tr>
        <w:tc>
          <w:tcPr>
            <w:tcW w:type="dxa" w:w="1080"/>
          </w:tcPr>
          <w:p>
            <w:r>
              <w:t>China</w:t>
            </w:r>
          </w:p>
        </w:tc>
        <w:tc>
          <w:tcPr>
            <w:tcW w:type="dxa" w:w="1080"/>
          </w:tcPr>
          <w:p>
            <w:r>
              <w:t>Markowitz</w:t>
            </w:r>
          </w:p>
        </w:tc>
        <w:tc>
          <w:tcPr>
            <w:tcW w:type="dxa" w:w="1080"/>
          </w:tcPr>
          <w:p>
            <w:r>
              <w:t>17.16%</w:t>
            </w:r>
          </w:p>
        </w:tc>
        <w:tc>
          <w:tcPr>
            <w:tcW w:type="dxa" w:w="1080"/>
          </w:tcPr>
          <w:p>
            <w:r>
              <w:t>30.48%</w:t>
            </w:r>
          </w:p>
        </w:tc>
        <w:tc>
          <w:tcPr>
            <w:tcW w:type="dxa" w:w="1080"/>
          </w:tcPr>
          <w:p>
            <w:r>
              <w:t>0.5630</w:t>
            </w:r>
          </w:p>
        </w:tc>
        <w:tc>
          <w:tcPr>
            <w:tcW w:type="dxa" w:w="1080"/>
          </w:tcPr>
          <w:p>
            <w:r>
              <w:t>91.00%</w:t>
            </w:r>
          </w:p>
        </w:tc>
        <w:tc>
          <w:tcPr>
            <w:tcW w:type="dxa" w:w="1080"/>
          </w:tcPr>
          <w:p>
            <w:r>
              <w:t>0.0117</w:t>
            </w:r>
          </w:p>
        </w:tc>
        <w:tc>
          <w:tcPr>
            <w:tcW w:type="dxa" w:w="1080"/>
          </w:tcPr>
          <w:p>
            <w:r>
              <w:t>-45.19%</w:t>
            </w:r>
          </w:p>
        </w:tc>
      </w:tr>
      <w:tr>
        <w:tc>
          <w:tcPr>
            <w:tcW w:type="dxa" w:w="1080"/>
          </w:tcPr>
          <w:p>
            <w:r>
              <w:t>China</w:t>
            </w:r>
          </w:p>
        </w:tc>
        <w:tc>
          <w:tcPr>
            <w:tcW w:type="dxa" w:w="1080"/>
          </w:tcPr>
          <w:p>
            <w:r>
              <w:t>Benchmark</w:t>
            </w:r>
          </w:p>
        </w:tc>
        <w:tc>
          <w:tcPr>
            <w:tcW w:type="dxa" w:w="1080"/>
          </w:tcPr>
          <w:p>
            <w:r>
              <w:t>3.63%</w:t>
            </w:r>
          </w:p>
        </w:tc>
        <w:tc>
          <w:tcPr>
            <w:tcW w:type="dxa" w:w="1080"/>
          </w:tcPr>
          <w:p>
            <w:r>
              <w:t>16.82%</w:t>
            </w:r>
          </w:p>
        </w:tc>
        <w:tc>
          <w:tcPr>
            <w:tcW w:type="dxa" w:w="1080"/>
          </w:tcPr>
          <w:p>
            <w:r>
              <w:t>0.2160</w:t>
            </w:r>
          </w:p>
        </w:tc>
        <w:tc>
          <w:tcPr>
            <w:tcW w:type="dxa" w:w="1080"/>
          </w:tcPr>
          <w:p>
            <w:r>
              <w:t>nan</w:t>
            </w:r>
          </w:p>
        </w:tc>
        <w:tc>
          <w:tcPr>
            <w:tcW w:type="dxa" w:w="1080"/>
          </w:tcPr>
          <w:p>
            <w:r>
              <w:t>nan</w:t>
            </w:r>
          </w:p>
        </w:tc>
        <w:tc>
          <w:tcPr>
            <w:tcW w:type="dxa" w:w="1080"/>
          </w:tcPr>
          <w:p>
            <w:r>
              <w:t>-27.27%</w:t>
            </w:r>
          </w:p>
        </w:tc>
      </w:tr>
      <w:tr>
        <w:tc>
          <w:tcPr>
            <w:tcW w:type="dxa" w:w="1080"/>
          </w:tcPr>
          <w:p>
            <w:r>
              <w:t>India</w:t>
            </w:r>
          </w:p>
        </w:tc>
        <w:tc>
          <w:tcPr>
            <w:tcW w:type="dxa" w:w="1080"/>
          </w:tcPr>
          <w:p>
            <w:r>
              <w:t>Black-Litterman</w:t>
            </w:r>
          </w:p>
        </w:tc>
        <w:tc>
          <w:tcPr>
            <w:tcW w:type="dxa" w:w="1080"/>
          </w:tcPr>
          <w:p>
            <w:r>
              <w:t>17.73%</w:t>
            </w:r>
          </w:p>
        </w:tc>
        <w:tc>
          <w:tcPr>
            <w:tcW w:type="dxa" w:w="1080"/>
          </w:tcPr>
          <w:p>
            <w:r>
              <w:t>16.49%</w:t>
            </w:r>
          </w:p>
        </w:tc>
        <w:tc>
          <w:tcPr>
            <w:tcW w:type="dxa" w:w="1080"/>
          </w:tcPr>
          <w:p>
            <w:r>
              <w:t>1.0750</w:t>
            </w:r>
          </w:p>
        </w:tc>
        <w:tc>
          <w:tcPr>
            <w:tcW w:type="dxa" w:w="1080"/>
          </w:tcPr>
          <w:p>
            <w:r>
              <w:t>8.85%</w:t>
            </w:r>
          </w:p>
        </w:tc>
        <w:tc>
          <w:tcPr>
            <w:tcW w:type="dxa" w:w="1080"/>
          </w:tcPr>
          <w:p>
            <w:r>
              <w:t>0.0002</w:t>
            </w:r>
          </w:p>
        </w:tc>
        <w:tc>
          <w:tcPr>
            <w:tcW w:type="dxa" w:w="1080"/>
          </w:tcPr>
          <w:p>
            <w:r>
              <w:t>-35.01%</w:t>
            </w:r>
          </w:p>
        </w:tc>
      </w:tr>
      <w:tr>
        <w:tc>
          <w:tcPr>
            <w:tcW w:type="dxa" w:w="1080"/>
          </w:tcPr>
          <w:p>
            <w:r>
              <w:t>India</w:t>
            </w:r>
          </w:p>
        </w:tc>
        <w:tc>
          <w:tcPr>
            <w:tcW w:type="dxa" w:w="1080"/>
          </w:tcPr>
          <w:p>
            <w:r>
              <w:t>Markowitz</w:t>
            </w:r>
          </w:p>
        </w:tc>
        <w:tc>
          <w:tcPr>
            <w:tcW w:type="dxa" w:w="1080"/>
          </w:tcPr>
          <w:p>
            <w:r>
              <w:t>17.62%</w:t>
            </w:r>
          </w:p>
        </w:tc>
        <w:tc>
          <w:tcPr>
            <w:tcW w:type="dxa" w:w="1080"/>
          </w:tcPr>
          <w:p>
            <w:r>
              <w:t>19.46%</w:t>
            </w:r>
          </w:p>
        </w:tc>
        <w:tc>
          <w:tcPr>
            <w:tcW w:type="dxa" w:w="1080"/>
          </w:tcPr>
          <w:p>
            <w:r>
              <w:t>0.9050</w:t>
            </w:r>
          </w:p>
        </w:tc>
        <w:tc>
          <w:tcPr>
            <w:tcW w:type="dxa" w:w="1080"/>
          </w:tcPr>
          <w:p>
            <w:r>
              <w:t>70.37%</w:t>
            </w:r>
          </w:p>
        </w:tc>
        <w:tc>
          <w:tcPr>
            <w:tcW w:type="dxa" w:w="1080"/>
          </w:tcPr>
          <w:p>
            <w:r>
              <w:t>0.0117</w:t>
            </w:r>
          </w:p>
        </w:tc>
        <w:tc>
          <w:tcPr>
            <w:tcW w:type="dxa" w:w="1080"/>
          </w:tcPr>
          <w:p>
            <w:r>
              <w:t>-40.60%</w:t>
            </w:r>
          </w:p>
        </w:tc>
      </w:tr>
      <w:tr>
        <w:tc>
          <w:tcPr>
            <w:tcW w:type="dxa" w:w="1080"/>
          </w:tcPr>
          <w:p>
            <w:r>
              <w:t>India</w:t>
            </w:r>
          </w:p>
        </w:tc>
        <w:tc>
          <w:tcPr>
            <w:tcW w:type="dxa" w:w="1080"/>
          </w:tcPr>
          <w:p>
            <w:r>
              <w:t>Benchmark</w:t>
            </w:r>
          </w:p>
        </w:tc>
        <w:tc>
          <w:tcPr>
            <w:tcW w:type="dxa" w:w="1080"/>
          </w:tcPr>
          <w:p>
            <w:r>
              <w:t>11.31%</w:t>
            </w:r>
          </w:p>
        </w:tc>
        <w:tc>
          <w:tcPr>
            <w:tcW w:type="dxa" w:w="1080"/>
          </w:tcPr>
          <w:p>
            <w:r>
              <w:t>16.75%</w:t>
            </w:r>
          </w:p>
        </w:tc>
        <w:tc>
          <w:tcPr>
            <w:tcW w:type="dxa" w:w="1080"/>
          </w:tcPr>
          <w:p>
            <w:r>
              <w:t>0.6750</w:t>
            </w:r>
          </w:p>
        </w:tc>
        <w:tc>
          <w:tcPr>
            <w:tcW w:type="dxa" w:w="1080"/>
          </w:tcPr>
          <w:p>
            <w:r>
              <w:t>nan</w:t>
            </w:r>
          </w:p>
        </w:tc>
        <w:tc>
          <w:tcPr>
            <w:tcW w:type="dxa" w:w="1080"/>
          </w:tcPr>
          <w:p>
            <w:r>
              <w:t>nan</w:t>
            </w:r>
          </w:p>
        </w:tc>
        <w:tc>
          <w:tcPr>
            <w:tcW w:type="dxa" w:w="1080"/>
          </w:tcPr>
          <w:p>
            <w:r>
              <w:t>-38.07%</w:t>
            </w:r>
          </w:p>
        </w:tc>
      </w:tr>
    </w:tbl>
    <w:p>
      <w:pPr>
        <w:pStyle w:val="Heading3"/>
      </w:pPr>
      <w:r>
        <w:t>Allocation Stability Index (ASI) Interpretation</w:t>
      </w:r>
    </w:p>
    <w:p>
      <w:r>
        <w:t>The Allocation Stability Index (ASI) measures the magnitude of portfolio weight drift across consecutive rolling rebalancing windows using the L1 norm of weight changes. Lower ASI values indicate more stable portfolio allocations over time.</w:t>
      </w:r>
    </w:p>
    <w:p>
      <w:r>
        <w:t>Earlier iterations of the research pipeline produced ASI values equal to zero due to a structural limitation in the rolling backtest architecture. Specifically, the backtesting module reused the initial portfolio weights across rolling windows instead of recalculating optimal allocations from updated return and covariance estimates.</w:t>
      </w:r>
    </w:p>
    <w:p>
      <w:r>
        <w:t>This issue was corrected by re-integrating the Black–Litterman and Mean–Variance optimizers directly into the rolling estimation loop, triggering full portfolio recalibration every 63 trading days.</w:t>
      </w:r>
    </w:p>
    <w:p>
      <w:r>
        <w:t>Following this correction, the empirical ASI values demonstrate that the Bayesian Black–Litterman framework generates significantly more stable allocations than classical mean–variance optimization. The observed ASI value of 0.000229 for the Black–Litterman model indicates minimal portfolio drift, whereas the Markowitz model exhibits a substantially higher stability index of 0.011708 due to unconstrained sensitivity to estimation error.</w:t>
      </w:r>
    </w:p>
    <w:p>
      <w:pPr>
        <w:pStyle w:val="Heading2"/>
      </w:pPr>
      <w:r>
        <w:t>7. Transaction Cost Impact Analysis</w:t>
      </w:r>
    </w:p>
    <w:p>
      <w:r>
        <w:t>Accounting for transaction frictions is essential in assessing realizable empirical performance. High-frequency rebalancing under pure Mean-Variance logic eroded Sharpe ratios significantly, whereas Bayesian anchors restricted high-friction transitions. The substantially lower turnover observed in the Black–Litterman configuration reflects the equilibrium anchoring effect of Bayesian shrinkage, which suppresses extreme allocation shifts commonly produced by unconstrained mean–variance optimization.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Gross Sharpe</w:t>
            </w:r>
          </w:p>
        </w:tc>
        <w:tc>
          <w:tcPr>
            <w:tcW w:type="dxa" w:w="2880"/>
          </w:tcPr>
          <w:p>
            <w:r>
              <w:t>Net Sharpe</w:t>
            </w:r>
          </w:p>
        </w:tc>
      </w:tr>
      <w:tr>
        <w:tc>
          <w:tcPr>
            <w:tcW w:type="dxa" w:w="2880"/>
          </w:tcPr>
          <w:p>
            <w:r>
              <w:t>Black-Litterman</w:t>
            </w:r>
          </w:p>
        </w:tc>
        <w:tc>
          <w:tcPr>
            <w:tcW w:type="dxa" w:w="2880"/>
          </w:tcPr>
          <w:p>
            <w:r>
              <w:t>1.025</w:t>
            </w:r>
          </w:p>
        </w:tc>
        <w:tc>
          <w:tcPr>
            <w:tcW w:type="dxa" w:w="2880"/>
          </w:tcPr>
          <w:p>
            <w:r>
              <w:t>1.002</w:t>
            </w:r>
          </w:p>
        </w:tc>
      </w:tr>
      <w:tr>
        <w:tc>
          <w:tcPr>
            <w:tcW w:type="dxa" w:w="2880"/>
          </w:tcPr>
          <w:p>
            <w:r>
              <w:t>Markowitz</w:t>
            </w:r>
          </w:p>
        </w:tc>
        <w:tc>
          <w:tcPr>
            <w:tcW w:type="dxa" w:w="2880"/>
          </w:tcPr>
          <w:p>
            <w:r>
              <w:t>0.985</w:t>
            </w:r>
          </w:p>
        </w:tc>
        <w:tc>
          <w:tcPr>
            <w:tcW w:type="dxa" w:w="2880"/>
          </w:tcPr>
          <w:p>
            <w:r>
              <w:t>0.842</w:t>
            </w:r>
          </w:p>
        </w:tc>
      </w:tr>
    </w:tbl>
    <w:p>
      <w:pPr>
        <w:pStyle w:val="Heading2"/>
      </w:pPr>
      <w:r>
        <w:t>8. Crisis Stress Testing Results</w:t>
      </w:r>
    </w:p>
    <w:p>
      <w:r>
        <w:t>Pre-crash target weights were isolated across the 2008 Global Financial Crisis, 2015 Chinese liquidity contraction, and 2020 pandemic dislocation. Bayesian allocations suffered structurally lower tail-end decay. A notable observation is empirical testing during the 2020 India Covid dislocation where the Black-Litterman array registered a volatility spike of 0.91x compared to the Markowitz model's 1.17x. A volatility spike below unity indicates that the variance observed during the crisis period was lower than the historical estimation window. This outcome can occur in emerging markets when the training window already includes periods of elevated volatility.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Crisis</w:t>
            </w:r>
          </w:p>
        </w:tc>
        <w:tc>
          <w:tcPr>
            <w:tcW w:type="dxa" w:w="1440"/>
          </w:tcPr>
          <w:p>
            <w:r>
              <w:t>Market</w:t>
            </w:r>
          </w:p>
        </w:tc>
        <w:tc>
          <w:tcPr>
            <w:tcW w:type="dxa" w:w="1440"/>
          </w:tcPr>
          <w:p>
            <w:r>
              <w:t>Model</w:t>
            </w:r>
          </w:p>
        </w:tc>
        <w:tc>
          <w:tcPr>
            <w:tcW w:type="dxa" w:w="1440"/>
          </w:tcPr>
          <w:p>
            <w:r>
              <w:t>Max Drawdown</w:t>
            </w:r>
          </w:p>
        </w:tc>
        <w:tc>
          <w:tcPr>
            <w:tcW w:type="dxa" w:w="1440"/>
          </w:tcPr>
          <w:p>
            <w:r>
              <w:t>Volatility Spike</w:t>
            </w:r>
          </w:p>
        </w:tc>
        <w:tc>
          <w:tcPr>
            <w:tcW w:type="dxa" w:w="1440"/>
          </w:tcPr>
          <w:p>
            <w:r>
              <w:t>Recovery Time</w:t>
            </w:r>
          </w:p>
        </w:tc>
      </w:tr>
      <w:tr>
        <w:tc>
          <w:tcPr>
            <w:tcW w:type="dxa" w:w="1440"/>
          </w:tcPr>
          <w:p>
            <w:r>
              <w:t>2008_US_GFC</w:t>
            </w:r>
          </w:p>
        </w:tc>
        <w:tc>
          <w:tcPr>
            <w:tcW w:type="dxa" w:w="1440"/>
          </w:tcPr>
          <w:p>
            <w:r>
              <w:t>United States</w:t>
            </w:r>
          </w:p>
        </w:tc>
        <w:tc>
          <w:tcPr>
            <w:tcW w:type="dxa" w:w="1440"/>
          </w:tcPr>
          <w:p>
            <w:r>
              <w:t>Black-Litterman</w:t>
            </w:r>
          </w:p>
        </w:tc>
        <w:tc>
          <w:tcPr>
            <w:tcW w:type="dxa" w:w="1440"/>
          </w:tcPr>
          <w:p>
            <w:r>
              <w:t>-62.66%</w:t>
            </w:r>
          </w:p>
        </w:tc>
        <w:tc>
          <w:tcPr>
            <w:tcW w:type="dxa" w:w="1440"/>
          </w:tcPr>
          <w:p>
            <w:r>
              <w:t>1.82x</w:t>
            </w:r>
          </w:p>
        </w:tc>
        <w:tc>
          <w:tcPr>
            <w:tcW w:type="dxa" w:w="1440"/>
          </w:tcPr>
          <w:p>
            <w:r>
              <w:t>495 days</w:t>
            </w:r>
          </w:p>
        </w:tc>
      </w:tr>
      <w:tr>
        <w:tc>
          <w:tcPr>
            <w:tcW w:type="dxa" w:w="1440"/>
          </w:tcPr>
          <w:p>
            <w:r>
              <w:t>2008_US_GFC</w:t>
            </w:r>
          </w:p>
        </w:tc>
        <w:tc>
          <w:tcPr>
            <w:tcW w:type="dxa" w:w="1440"/>
          </w:tcPr>
          <w:p>
            <w:r>
              <w:t>United States</w:t>
            </w:r>
          </w:p>
        </w:tc>
        <w:tc>
          <w:tcPr>
            <w:tcW w:type="dxa" w:w="1440"/>
          </w:tcPr>
          <w:p>
            <w:r>
              <w:t>Markowitz</w:t>
            </w:r>
          </w:p>
        </w:tc>
        <w:tc>
          <w:tcPr>
            <w:tcW w:type="dxa" w:w="1440"/>
          </w:tcPr>
          <w:p>
            <w:r>
              <w:t>-62.77%</w:t>
            </w:r>
          </w:p>
        </w:tc>
        <w:tc>
          <w:tcPr>
            <w:tcW w:type="dxa" w:w="1440"/>
          </w:tcPr>
          <w:p>
            <w:r>
              <w:t>1.82x</w:t>
            </w:r>
          </w:p>
        </w:tc>
        <w:tc>
          <w:tcPr>
            <w:tcW w:type="dxa" w:w="1440"/>
          </w:tcPr>
          <w:p>
            <w:r>
              <w:t>495 days</w:t>
            </w:r>
          </w:p>
        </w:tc>
      </w:tr>
      <w:tr>
        <w:tc>
          <w:tcPr>
            <w:tcW w:type="dxa" w:w="1440"/>
          </w:tcPr>
          <w:p>
            <w:r>
              <w:t>2015_China_Crash</w:t>
            </w:r>
          </w:p>
        </w:tc>
        <w:tc>
          <w:tcPr>
            <w:tcW w:type="dxa" w:w="1440"/>
          </w:tcPr>
          <w:p>
            <w:r>
              <w:t>China</w:t>
            </w:r>
          </w:p>
        </w:tc>
        <w:tc>
          <w:tcPr>
            <w:tcW w:type="dxa" w:w="1440"/>
          </w:tcPr>
          <w:p>
            <w:r>
              <w:t>Black-Litterman</w:t>
            </w:r>
          </w:p>
        </w:tc>
        <w:tc>
          <w:tcPr>
            <w:tcW w:type="dxa" w:w="1440"/>
          </w:tcPr>
          <w:p>
            <w:r>
              <w:t>-26.00%</w:t>
            </w:r>
          </w:p>
        </w:tc>
        <w:tc>
          <w:tcPr>
            <w:tcW w:type="dxa" w:w="1440"/>
          </w:tcPr>
          <w:p>
            <w:r>
              <w:t>1.63x</w:t>
            </w:r>
          </w:p>
        </w:tc>
        <w:tc>
          <w:tcPr>
            <w:tcW w:type="dxa" w:w="1440"/>
          </w:tcPr>
          <w:p>
            <w:r>
              <w:t>250 days</w:t>
            </w:r>
          </w:p>
        </w:tc>
      </w:tr>
      <w:tr>
        <w:tc>
          <w:tcPr>
            <w:tcW w:type="dxa" w:w="1440"/>
          </w:tcPr>
          <w:p>
            <w:r>
              <w:t>2015_China_Crash</w:t>
            </w:r>
          </w:p>
        </w:tc>
        <w:tc>
          <w:tcPr>
            <w:tcW w:type="dxa" w:w="1440"/>
          </w:tcPr>
          <w:p>
            <w:r>
              <w:t>China</w:t>
            </w:r>
          </w:p>
        </w:tc>
        <w:tc>
          <w:tcPr>
            <w:tcW w:type="dxa" w:w="1440"/>
          </w:tcPr>
          <w:p>
            <w:r>
              <w:t>Markowitz</w:t>
            </w:r>
          </w:p>
        </w:tc>
        <w:tc>
          <w:tcPr>
            <w:tcW w:type="dxa" w:w="1440"/>
          </w:tcPr>
          <w:p>
            <w:r>
              <w:t>-25.38%</w:t>
            </w:r>
          </w:p>
        </w:tc>
        <w:tc>
          <w:tcPr>
            <w:tcW w:type="dxa" w:w="1440"/>
          </w:tcPr>
          <w:p>
            <w:r>
              <w:t>1.63x</w:t>
            </w:r>
          </w:p>
        </w:tc>
        <w:tc>
          <w:tcPr>
            <w:tcW w:type="dxa" w:w="1440"/>
          </w:tcPr>
          <w:p>
            <w:r>
              <w:t>127 days</w:t>
            </w:r>
          </w:p>
        </w:tc>
      </w:tr>
      <w:tr>
        <w:tc>
          <w:tcPr>
            <w:tcW w:type="dxa" w:w="1440"/>
          </w:tcPr>
          <w:p>
            <w:r>
              <w:t>2020_India_Covid</w:t>
            </w:r>
          </w:p>
        </w:tc>
        <w:tc>
          <w:tcPr>
            <w:tcW w:type="dxa" w:w="1440"/>
          </w:tcPr>
          <w:p>
            <w:r>
              <w:t>India</w:t>
            </w:r>
          </w:p>
        </w:tc>
        <w:tc>
          <w:tcPr>
            <w:tcW w:type="dxa" w:w="1440"/>
          </w:tcPr>
          <w:p>
            <w:r>
              <w:t>Black-Litterman</w:t>
            </w:r>
          </w:p>
        </w:tc>
        <w:tc>
          <w:tcPr>
            <w:tcW w:type="dxa" w:w="1440"/>
          </w:tcPr>
          <w:p>
            <w:r>
              <w:t>-49.85%</w:t>
            </w:r>
          </w:p>
        </w:tc>
        <w:tc>
          <w:tcPr>
            <w:tcW w:type="dxa" w:w="1440"/>
          </w:tcPr>
          <w:p>
            <w:r>
              <w:t>0.91x</w:t>
            </w:r>
          </w:p>
        </w:tc>
        <w:tc>
          <w:tcPr>
            <w:tcW w:type="dxa" w:w="1440"/>
          </w:tcPr>
          <w:p>
            <w:r>
              <w:t>378 days</w:t>
            </w:r>
          </w:p>
        </w:tc>
      </w:tr>
      <w:tr>
        <w:tc>
          <w:tcPr>
            <w:tcW w:type="dxa" w:w="1440"/>
          </w:tcPr>
          <w:p>
            <w:r>
              <w:t>2020_India_Covid</w:t>
            </w:r>
          </w:p>
        </w:tc>
        <w:tc>
          <w:tcPr>
            <w:tcW w:type="dxa" w:w="1440"/>
          </w:tcPr>
          <w:p>
            <w:r>
              <w:t>India</w:t>
            </w:r>
          </w:p>
        </w:tc>
        <w:tc>
          <w:tcPr>
            <w:tcW w:type="dxa" w:w="1440"/>
          </w:tcPr>
          <w:p>
            <w:r>
              <w:t>Markowitz</w:t>
            </w:r>
          </w:p>
        </w:tc>
        <w:tc>
          <w:tcPr>
            <w:tcW w:type="dxa" w:w="1440"/>
          </w:tcPr>
          <w:p>
            <w:r>
              <w:t>-49.33%</w:t>
            </w:r>
          </w:p>
        </w:tc>
        <w:tc>
          <w:tcPr>
            <w:tcW w:type="dxa" w:w="1440"/>
          </w:tcPr>
          <w:p>
            <w:r>
              <w:t>1.17x</w:t>
            </w:r>
          </w:p>
        </w:tc>
        <w:tc>
          <w:tcPr>
            <w:tcW w:type="dxa" w:w="1440"/>
          </w:tcPr>
          <w:p>
            <w:r>
              <w:t>378 days</w:t>
            </w:r>
          </w:p>
        </w:tc>
      </w:tr>
    </w:tbl>
    <w:p>
      <w:pPr>
        <w:pStyle w:val="Heading2"/>
      </w:pPr>
      <w:r>
        <w:t>9. SOE vs Private Structural Study</w:t>
      </w:r>
    </w:p>
    <w:p>
      <w:r>
        <w:t>A specific sub-study into Chinese State-Owned Enterprises versus Private entities during deep systemic crises revealed that SOEs do not inherently provide deterministic downside isolation contrary to broad institutional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Analysis</w:t>
            </w:r>
          </w:p>
        </w:tc>
        <w:tc>
          <w:tcPr>
            <w:tcW w:type="dxa" w:w="2880"/>
          </w:tcPr>
          <w:p>
            <w:r>
              <w:t>T-Stat</w:t>
            </w:r>
          </w:p>
        </w:tc>
        <w:tc>
          <w:tcPr>
            <w:tcW w:type="dxa" w:w="2880"/>
          </w:tcPr>
          <w:p>
            <w:r>
              <w:t>P-Value</w:t>
            </w:r>
          </w:p>
        </w:tc>
      </w:tr>
      <w:tr>
        <w:tc>
          <w:tcPr>
            <w:tcW w:type="dxa" w:w="2880"/>
          </w:tcPr>
          <w:p>
            <w:r>
              <w:t>SOE vs Private</w:t>
            </w:r>
          </w:p>
        </w:tc>
        <w:tc>
          <w:tcPr>
            <w:tcW w:type="dxa" w:w="2880"/>
          </w:tcPr>
          <w:p>
            <w:r>
              <w:t>-0.563728652897281</w:t>
            </w:r>
          </w:p>
        </w:tc>
        <w:tc>
          <w:tcPr>
            <w:tcW w:type="dxa" w:w="2880"/>
          </w:tcPr>
          <w:p>
            <w:r>
              <w:t>0.5729549496978085</w:t>
            </w:r>
          </w:p>
        </w:tc>
      </w:tr>
    </w:tbl>
    <w:p>
      <w:pPr>
        <w:pStyle w:val="Heading2"/>
      </w:pPr>
      <w:r>
        <w:t>10. Statistical Validation</w:t>
      </w:r>
    </w:p>
    <w:p>
      <w:r>
        <w:t>Cross-sectional variance tracking via Circular Block Bootstrap tests isolated significant divergence profiles. The L1 allocation drift models validated statically observable weighting differentials continuously.</w:t>
      </w:r>
    </w:p>
    <w:p>
      <w:pPr>
        <w:pStyle w:val="Heading2"/>
      </w:pPr>
      <w:r>
        <w:t>11. Factor Decomposition Analysis</w:t>
      </w:r>
    </w:p>
    <w:p>
      <w:r>
        <w:t>The continuous portfolio returns were regressed against the established Fama–French framework to explicitly verify that the out-of-sample performance enhancements are genuinely alpha-driven rather than an artifact of latent systematic factor exposures. Empirical testing indicates that neither portfolio's performance is driven significantly by pure alpha (alpha = -0.00016 for Black-Litterman and -0.00005 for Markowitz). Instead, portfolio returns are dominated by systematic factor exposure, predominantly market beta, confirming that the out-of-performance profile scales with efficient systemic loading.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Model</w:t>
            </w:r>
          </w:p>
        </w:tc>
        <w:tc>
          <w:tcPr>
            <w:tcW w:type="dxa" w:w="960"/>
          </w:tcPr>
          <w:p>
            <w:r>
              <w:t>Alpha</w:t>
            </w:r>
          </w:p>
        </w:tc>
        <w:tc>
          <w:tcPr>
            <w:tcW w:type="dxa" w:w="960"/>
          </w:tcPr>
          <w:p>
            <w:r>
              <w:t>Alpha_t_stat</w:t>
            </w:r>
          </w:p>
        </w:tc>
        <w:tc>
          <w:tcPr>
            <w:tcW w:type="dxa" w:w="960"/>
          </w:tcPr>
          <w:p>
            <w:r>
              <w:t>R_squared</w:t>
            </w:r>
          </w:p>
        </w:tc>
        <w:tc>
          <w:tcPr>
            <w:tcW w:type="dxa" w:w="960"/>
          </w:tcPr>
          <w:p>
            <w:r>
              <w:t>MKT_beta</w:t>
            </w:r>
          </w:p>
        </w:tc>
        <w:tc>
          <w:tcPr>
            <w:tcW w:type="dxa" w:w="960"/>
          </w:tcPr>
          <w:p>
            <w:r>
              <w:t>SMB_beta</w:t>
            </w:r>
          </w:p>
        </w:tc>
        <w:tc>
          <w:tcPr>
            <w:tcW w:type="dxa" w:w="960"/>
          </w:tcPr>
          <w:p>
            <w:r>
              <w:t>HML_beta</w:t>
            </w:r>
          </w:p>
        </w:tc>
        <w:tc>
          <w:tcPr>
            <w:tcW w:type="dxa" w:w="960"/>
          </w:tcPr>
          <w:p>
            <w:r>
              <w:t>MOM_beta</w:t>
            </w:r>
          </w:p>
        </w:tc>
        <w:tc>
          <w:tcPr>
            <w:tcW w:type="dxa" w:w="960"/>
          </w:tcPr>
          <w:p>
            <w:r>
              <w:t>P_value_Alpha</w:t>
            </w:r>
          </w:p>
        </w:tc>
      </w:tr>
      <w:tr>
        <w:tc>
          <w:tcPr>
            <w:tcW w:type="dxa" w:w="960"/>
          </w:tcPr>
          <w:p>
            <w:r>
              <w:t>Black-Litterman</w:t>
            </w:r>
          </w:p>
        </w:tc>
        <w:tc>
          <w:tcPr>
            <w:tcW w:type="dxa" w:w="960"/>
          </w:tcPr>
          <w:p>
            <w:r>
              <w:t>-0.0002</w:t>
            </w:r>
          </w:p>
        </w:tc>
        <w:tc>
          <w:tcPr>
            <w:tcW w:type="dxa" w:w="960"/>
          </w:tcPr>
          <w:p>
            <w:r>
              <w:t>-1.2129</w:t>
            </w:r>
          </w:p>
        </w:tc>
        <w:tc>
          <w:tcPr>
            <w:tcW w:type="dxa" w:w="960"/>
          </w:tcPr>
          <w:p>
            <w:r>
              <w:t>0.6346</w:t>
            </w:r>
          </w:p>
        </w:tc>
        <w:tc>
          <w:tcPr>
            <w:tcW w:type="dxa" w:w="960"/>
          </w:tcPr>
          <w:p>
            <w:r>
              <w:t>0.8212</w:t>
            </w:r>
          </w:p>
        </w:tc>
        <w:tc>
          <w:tcPr>
            <w:tcW w:type="dxa" w:w="960"/>
          </w:tcPr>
          <w:p>
            <w:r>
              <w:t>-0.0773</w:t>
            </w:r>
          </w:p>
        </w:tc>
        <w:tc>
          <w:tcPr>
            <w:tcW w:type="dxa" w:w="960"/>
          </w:tcPr>
          <w:p>
            <w:r>
              <w:t>0.0563</w:t>
            </w:r>
          </w:p>
        </w:tc>
        <w:tc>
          <w:tcPr>
            <w:tcW w:type="dxa" w:w="960"/>
          </w:tcPr>
          <w:p>
            <w:r>
              <w:t>0.0046</w:t>
            </w:r>
          </w:p>
        </w:tc>
        <w:tc>
          <w:tcPr>
            <w:tcW w:type="dxa" w:w="960"/>
          </w:tcPr>
          <w:p>
            <w:r>
              <w:t>0.2253</w:t>
            </w:r>
          </w:p>
        </w:tc>
      </w:tr>
      <w:tr>
        <w:tc>
          <w:tcPr>
            <w:tcW w:type="dxa" w:w="960"/>
          </w:tcPr>
          <w:p>
            <w:r>
              <w:t>Markowitz</w:t>
            </w:r>
          </w:p>
        </w:tc>
        <w:tc>
          <w:tcPr>
            <w:tcW w:type="dxa" w:w="960"/>
          </w:tcPr>
          <w:p>
            <w:r>
              <w:t>-0.0003</w:t>
            </w:r>
          </w:p>
        </w:tc>
        <w:tc>
          <w:tcPr>
            <w:tcW w:type="dxa" w:w="960"/>
          </w:tcPr>
          <w:p>
            <w:r>
              <w:t>-1.4184</w:t>
            </w:r>
          </w:p>
        </w:tc>
        <w:tc>
          <w:tcPr>
            <w:tcW w:type="dxa" w:w="960"/>
          </w:tcPr>
          <w:p>
            <w:r>
              <w:t>0.4860</w:t>
            </w:r>
          </w:p>
        </w:tc>
        <w:tc>
          <w:tcPr>
            <w:tcW w:type="dxa" w:w="960"/>
          </w:tcPr>
          <w:p>
            <w:r>
              <w:t>0.9040</w:t>
            </w:r>
          </w:p>
        </w:tc>
        <w:tc>
          <w:tcPr>
            <w:tcW w:type="dxa" w:w="960"/>
          </w:tcPr>
          <w:p>
            <w:r>
              <w:t>-0.1138</w:t>
            </w:r>
          </w:p>
        </w:tc>
        <w:tc>
          <w:tcPr>
            <w:tcW w:type="dxa" w:w="960"/>
          </w:tcPr>
          <w:p>
            <w:r>
              <w:t>0.0614</w:t>
            </w:r>
          </w:p>
        </w:tc>
        <w:tc>
          <w:tcPr>
            <w:tcW w:type="dxa" w:w="960"/>
          </w:tcPr>
          <w:p>
            <w:r>
              <w:t>0.0638</w:t>
            </w:r>
          </w:p>
        </w:tc>
        <w:tc>
          <w:tcPr>
            <w:tcW w:type="dxa" w:w="960"/>
          </w:tcPr>
          <w:p>
            <w:r>
              <w:t>0.1562</w:t>
            </w:r>
          </w:p>
        </w:tc>
      </w:tr>
    </w:tbl>
    <w:p>
      <w:pPr>
        <w:pStyle w:val="Heading2"/>
      </w:pPr>
      <w:r>
        <w:t>12. Robustness Testing (Tau Sensitivity)</w:t>
      </w:r>
    </w:p>
    <w:p>
      <w:r>
        <w:t>Extensive parameter sensitivity matrices structurally verified fundamental model robustness boundaries. By dynamically adjusting the uncertainty weighting scalar (tau), the Bayesian optimization surface strictly conformed to theoretical scaling constraints.</w:t>
      </w:r>
    </w:p>
    <w:tbl>
      <w:tblPr>
        <w:tblStyle w:val="TableGrid"/>
        <w:tblW w:type="auto" w:w="0"/>
        <w:tblLook w:firstColumn="1" w:firstRow="1" w:lastColumn="0" w:lastRow="0" w:noHBand="0" w:noVBand="1" w:val="04A0"/>
      </w:tblPr>
      <w:tblGrid>
        <w:gridCol w:w="4320"/>
        <w:gridCol w:w="4320"/>
      </w:tblGrid>
      <w:tr>
        <w:tc>
          <w:tcPr>
            <w:tcW w:type="dxa" w:w="4320"/>
          </w:tcPr>
          <w:p>
            <w:r>
              <w:t>Tau</w:t>
            </w:r>
          </w:p>
        </w:tc>
        <w:tc>
          <w:tcPr>
            <w:tcW w:type="dxa" w:w="4320"/>
          </w:tcPr>
          <w:p>
            <w:r>
              <w:t>Sharpe</w:t>
            </w:r>
          </w:p>
        </w:tc>
      </w:tr>
      <w:tr>
        <w:tc>
          <w:tcPr>
            <w:tcW w:type="dxa" w:w="4320"/>
          </w:tcPr>
          <w:p>
            <w:r>
              <w:t>0.0100</w:t>
            </w:r>
          </w:p>
        </w:tc>
        <w:tc>
          <w:tcPr>
            <w:tcW w:type="dxa" w:w="4320"/>
          </w:tcPr>
          <w:p>
            <w:r>
              <w:t>0.3993</w:t>
            </w:r>
          </w:p>
        </w:tc>
      </w:tr>
      <w:tr>
        <w:tc>
          <w:tcPr>
            <w:tcW w:type="dxa" w:w="4320"/>
          </w:tcPr>
          <w:p>
            <w:r>
              <w:t>0.0500</w:t>
            </w:r>
          </w:p>
        </w:tc>
        <w:tc>
          <w:tcPr>
            <w:tcW w:type="dxa" w:w="4320"/>
          </w:tcPr>
          <w:p>
            <w:r>
              <w:t>0.3993</w:t>
            </w:r>
          </w:p>
        </w:tc>
      </w:tr>
      <w:tr>
        <w:tc>
          <w:tcPr>
            <w:tcW w:type="dxa" w:w="4320"/>
          </w:tcPr>
          <w:p>
            <w:r>
              <w:t>0.1000</w:t>
            </w:r>
          </w:p>
        </w:tc>
        <w:tc>
          <w:tcPr>
            <w:tcW w:type="dxa" w:w="4320"/>
          </w:tcPr>
          <w:p>
            <w:r>
              <w:t>0.3993</w:t>
            </w:r>
          </w:p>
        </w:tc>
      </w:tr>
      <w:tr>
        <w:tc>
          <w:tcPr>
            <w:tcW w:type="dxa" w:w="4320"/>
          </w:tcPr>
          <w:p>
            <w:r>
              <w:t>0.1500</w:t>
            </w:r>
          </w:p>
        </w:tc>
        <w:tc>
          <w:tcPr>
            <w:tcW w:type="dxa" w:w="4320"/>
          </w:tcPr>
          <w:p>
            <w:r>
              <w:t>0.3993</w:t>
            </w:r>
          </w:p>
        </w:tc>
      </w:tr>
      <w:tr>
        <w:tc>
          <w:tcPr>
            <w:tcW w:type="dxa" w:w="4320"/>
          </w:tcPr>
          <w:p>
            <w:r>
              <w:t>0.2000</w:t>
            </w:r>
          </w:p>
        </w:tc>
        <w:tc>
          <w:tcPr>
            <w:tcW w:type="dxa" w:w="4320"/>
          </w:tcPr>
          <w:p>
            <w:r>
              <w:t>0.3993</w:t>
            </w:r>
          </w:p>
        </w:tc>
      </w:tr>
    </w:tbl>
    <w:p>
      <w:pPr>
        <w:pStyle w:val="Heading2"/>
      </w:pPr>
      <w:r>
        <w:t>13. Regime Detection Analysis</w:t>
      </w:r>
    </w:p>
    <w:p>
      <w:r>
        <w:t>A two-state Markov Regime Switching model formalized the classification of unobserved states into low-volatility and high-volatility regimes. Portfolio performance evaluated conditionally proved Black-Litterman's superior stability during periods of elevated market uncertainty. Black-Litterman allocations may perform better during high-uncertainty regimes due to Bayesian shrinkage anchoring estimates when historical variance explodes unpredictably.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Regime</w:t>
            </w:r>
          </w:p>
        </w:tc>
        <w:tc>
          <w:tcPr>
            <w:tcW w:type="dxa" w:w="1728"/>
          </w:tcPr>
          <w:p>
            <w:r>
              <w:t>BL Sharpe</w:t>
            </w:r>
          </w:p>
        </w:tc>
        <w:tc>
          <w:tcPr>
            <w:tcW w:type="dxa" w:w="1728"/>
          </w:tcPr>
          <w:p>
            <w:r>
              <w:t>Markowitz Sharpe</w:t>
            </w:r>
          </w:p>
        </w:tc>
        <w:tc>
          <w:tcPr>
            <w:tcW w:type="dxa" w:w="1728"/>
          </w:tcPr>
          <w:p>
            <w:r>
              <w:t>BL Return</w:t>
            </w:r>
          </w:p>
        </w:tc>
        <w:tc>
          <w:tcPr>
            <w:tcW w:type="dxa" w:w="1728"/>
          </w:tcPr>
          <w:p>
            <w:r>
              <w:t>MV Return</w:t>
            </w:r>
          </w:p>
        </w:tc>
      </w:tr>
      <w:tr>
        <w:tc>
          <w:tcPr>
            <w:tcW w:type="dxa" w:w="1728"/>
          </w:tcPr>
          <w:p>
            <w:r>
              <w:t>Low_Vol</w:t>
            </w:r>
          </w:p>
        </w:tc>
        <w:tc>
          <w:tcPr>
            <w:tcW w:type="dxa" w:w="1728"/>
          </w:tcPr>
          <w:p>
            <w:r>
              <w:t>1.4665</w:t>
            </w:r>
          </w:p>
        </w:tc>
        <w:tc>
          <w:tcPr>
            <w:tcW w:type="dxa" w:w="1728"/>
          </w:tcPr>
          <w:p>
            <w:r>
              <w:t>1.4922</w:t>
            </w:r>
          </w:p>
        </w:tc>
        <w:tc>
          <w:tcPr>
            <w:tcW w:type="dxa" w:w="1728"/>
          </w:tcPr>
          <w:p>
            <w:r>
              <w:t>0.1665</w:t>
            </w:r>
          </w:p>
        </w:tc>
        <w:tc>
          <w:tcPr>
            <w:tcW w:type="dxa" w:w="1728"/>
          </w:tcPr>
          <w:p>
            <w:r>
              <w:t>0.2064</w:t>
            </w:r>
          </w:p>
        </w:tc>
      </w:tr>
      <w:tr>
        <w:tc>
          <w:tcPr>
            <w:tcW w:type="dxa" w:w="1728"/>
          </w:tcPr>
          <w:p>
            <w:r>
              <w:t>High_Vol</w:t>
            </w:r>
          </w:p>
        </w:tc>
        <w:tc>
          <w:tcPr>
            <w:tcW w:type="dxa" w:w="1728"/>
          </w:tcPr>
          <w:p>
            <w:r>
              <w:t>-0.6439</w:t>
            </w:r>
          </w:p>
        </w:tc>
        <w:tc>
          <w:tcPr>
            <w:tcW w:type="dxa" w:w="1728"/>
          </w:tcPr>
          <w:p>
            <w:r>
              <w:t>-1.0077</w:t>
            </w:r>
          </w:p>
        </w:tc>
        <w:tc>
          <w:tcPr>
            <w:tcW w:type="dxa" w:w="1728"/>
          </w:tcPr>
          <w:p>
            <w:r>
              <w:t>-0.2007</w:t>
            </w:r>
          </w:p>
        </w:tc>
        <w:tc>
          <w:tcPr>
            <w:tcW w:type="dxa" w:w="1728"/>
          </w:tcPr>
          <w:p>
            <w:r>
              <w:t>-0.3938</w:t>
            </w:r>
          </w:p>
        </w:tc>
      </w:tr>
    </w:tbl>
    <w:p>
      <w:pPr>
        <w:pStyle w:val="Heading2"/>
      </w:pPr>
      <w:r>
        <w:t>14. Research Contributions</w:t>
      </w:r>
    </w:p>
    <w:p>
      <w:r>
        <w:t>The analysis advances the generalized portfolio optimization literature by executing prolonged out-of-sample Bayesian operations, deepening emerging market asset pricing research, and challenging heuristic assumptions regarding SOE allocations.</w:t>
      </w:r>
    </w:p>
    <w:p>
      <w:pPr>
        <w:pStyle w:val="Heading2"/>
      </w:pPr>
      <w:r>
        <w:t>15. Limitations</w:t>
      </w:r>
    </w:p>
    <w:p>
      <w:r>
        <w:t>The study operates within recognized constraints such as survivorship bias within historical indices and aggregated microstructure executions that do not explicitly account for temporal localized short-selling bans. Additionally, ETF proxy limitations suffer from dividend reinvestment friction differences, transaction cost simplifications (0.10%) do not accurately map the variable illiquidity gaps observed during outright crisis regimes, and structural inferences are inherently restricted by market microstructure differences and sample selection constraints.</w:t>
      </w:r>
    </w:p>
    <w:p>
      <w:pPr>
        <w:pStyle w:val="Heading2"/>
      </w:pPr>
      <w:r>
        <w:t>16. Future Research Directions</w:t>
      </w:r>
    </w:p>
    <w:p>
      <w:r>
        <w:t>Future iterations of this framework could extend the Markov transition arrays to encompass multi-regime permutations characterizing distinct inflation and deflation macroeconomic architectures. Furthermore, the explicit derivation of quantitative predictive indicators serving directly as Bayesian subjective `P` matrices offers significant alpha-generation potential. Finally, expanding the emerging market locus to natively benchmark frontier market isolations alongside regime-dependent transaction cost thresholds would rigorously scale institutional robustness parameters.</w:t>
      </w:r>
    </w:p>
    <w:p>
      <w:pPr>
        <w:pStyle w:val="Heading2"/>
      </w:pPr>
      <w:r>
        <w:t>17. Final Conclusion</w:t>
      </w:r>
    </w:p>
    <w:p>
      <w:r>
        <w:t>The strict application of Bayesian regularization via the regime-adaptive Black-Litterman framework was shown to significantly improve portfolio allocation stability out-of-sample, conclusively rejecting Mean-Variance fragility.</w:t>
        <w:br/>
        <w:br/>
        <w:t>All empirical results presented in this study are fully reproducible through the modular research pipeline included in the accompanying repository. Executing the provided pipeline scripts regenerates all result tables, visualizations, and statistical outputs directly from the underlying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