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Midea Group</w:t>
        <w:br/>
        <w:t>Final Valuation Report R3</w:t>
      </w:r>
    </w:p>
    <w:p>
      <w:pPr>
        <w:jc w:val="center"/>
      </w:pPr>
      <w:r>
        <w:t>Institutional forecasting and valuation | 13 September 2026</w:t>
      </w:r>
    </w:p>
    <w:p>
      <w:pPr>
        <w:jc w:val="center"/>
      </w:pPr>
      <w:r>
        <w:t>Model information cutoff: 20 August 2026  |  Valuation market-data date: 11 September 2026</w:t>
      </w:r>
    </w:p>
    <w:p>
      <w:r>
        <w:drawing>
          <wp:inline xmlns:a="http://schemas.openxmlformats.org/drawingml/2006/main" xmlns:pic="http://schemas.openxmlformats.org/drawingml/2006/picture">
            <wp:extent cx="6400800" cy="35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ation_football_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Executive view</w:t>
      </w:r>
    </w:p>
    <w:p>
      <w:r>
        <w:t>The certified DCF base is CNY 294.51 per share versus CNY 86.26. Period-aligned trading comparables indicate CNY 76.99–99.21. The governed conclusion is DCF_INDICATES_UPSIDE_BUT_LOW_CONFIDENCE; risk is HIGH and confidence is LOW_TO_MEDIUM. No mechanical method average is used.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Method</w:t>
            </w:r>
          </w:p>
        </w:tc>
        <w:tc>
          <w:tcPr>
            <w:tcW w:type="dxa" w:w="2592"/>
          </w:tcPr>
          <w:p>
            <w:r>
              <w:t>Low</w:t>
            </w:r>
          </w:p>
        </w:tc>
        <w:tc>
          <w:tcPr>
            <w:tcW w:type="dxa" w:w="2592"/>
          </w:tcPr>
          <w:p>
            <w:r>
              <w:t>Central/Base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</w:tr>
      <w:tr>
        <w:tc>
          <w:tcPr>
            <w:tcW w:type="dxa" w:w="2592"/>
          </w:tcPr>
          <w:p>
            <w:r>
              <w:t>DCF</w:t>
            </w:r>
          </w:p>
        </w:tc>
        <w:tc>
          <w:tcPr>
            <w:tcW w:type="dxa" w:w="2592"/>
          </w:tcPr>
          <w:p>
            <w:r>
              <w:t>117.43848226</w:t>
            </w:r>
          </w:p>
        </w:tc>
        <w:tc>
          <w:tcPr>
            <w:tcW w:type="dxa" w:w="2592"/>
          </w:tcPr>
          <w:p>
            <w:r>
              <w:t>294.51058279</w:t>
            </w:r>
          </w:p>
        </w:tc>
        <w:tc>
          <w:tcPr>
            <w:tcW w:type="dxa" w:w="2592"/>
          </w:tcPr>
          <w:p>
            <w:r>
              <w:t>548.93672533</w:t>
            </w:r>
          </w:p>
        </w:tc>
      </w:tr>
      <w:tr>
        <w:tc>
          <w:tcPr>
            <w:tcW w:type="dxa" w:w="2592"/>
          </w:tcPr>
          <w:p>
            <w:r>
              <w:t>Comps</w:t>
            </w:r>
          </w:p>
        </w:tc>
        <w:tc>
          <w:tcPr>
            <w:tcW w:type="dxa" w:w="2592"/>
          </w:tcPr>
          <w:p>
            <w:r>
              <w:t>76.99490197</w:t>
            </w:r>
          </w:p>
        </w:tc>
        <w:tc>
          <w:tcPr>
            <w:tcW w:type="dxa" w:w="2592"/>
          </w:tcPr>
          <w:p>
            <w:r>
              <w:t>90.17128260</w:t>
            </w:r>
          </w:p>
        </w:tc>
        <w:tc>
          <w:tcPr>
            <w:tcW w:type="dxa" w:w="2592"/>
          </w:tcPr>
          <w:p>
            <w:r>
              <w:t>99.20698269</w:t>
            </w:r>
          </w:p>
        </w:tc>
      </w:tr>
    </w:tbl>
    <w:p>
      <w:pPr>
        <w:pStyle w:val="Heading1"/>
      </w:pPr>
      <w:r>
        <w:t>Method and governance</w:t>
      </w:r>
    </w:p>
    <w:p>
      <w:r>
        <w:t>H1, H2, H3-A, G25 mechanics and forecast-driver authority remain frozen. A newly executed primary-evidence recomputation proved that the prior release omitted source-proven economic working-capital accounts and treated mixed current-asset residuals as operating. Attempt 005 rebuilds economic NWC from eight operating assets and seven operating liabilities, excludes income-tax payable because NOPAT uses accrual tax, and presents finance-company net investment as a separate FCFF adjustment. Share mechanics remain unchanged. No post-cutoff operating fact enters the forecast. Arithmetic identities remain exact-zero controls.</w:t>
      </w:r>
    </w:p>
    <w:p>
      <w:pPr>
        <w:pStyle w:val="Heading1"/>
      </w:pPr>
      <w:r>
        <w:t>WACC</w:t>
      </w:r>
    </w:p>
    <w:p>
      <w:r>
        <w:t>WACC is 5.2666% (range 5.0776%–7.0262%). It uses a 1.6899% RMB risk-free rate, 5.0728% China total ERP from Damodaran's 1 July 2026 dataset, beta 0.785484, pre-tax cost of debt 1.7292%, and certified market-value capital structure. The debt rate is a marginal market proxy from the ChinaBond AAA CP and Note 5Y curve; it is distinct from accounting effective interest expense.</w:t>
      </w:r>
    </w:p>
    <w:p>
      <w:pPr>
        <w:pStyle w:val="Heading1"/>
      </w:pPr>
      <w:r>
        <w:t>DCF</w:t>
      </w:r>
    </w:p>
    <w:p>
      <w:r>
        <w:t>The base case produces enterprise value RMB 2,054,275.7 million and equity value RMB 2,180,118.6 million. The terminal value contributes 88.8% of enterprise value. That concentration makes the output highly sensitive to WACC and terminal growth and is reflected in the low-to-medium confidence rating.</w:t>
      </w:r>
    </w:p>
    <w:p>
      <w:r>
        <w:drawing>
          <wp:inline xmlns:a="http://schemas.openxmlformats.org/drawingml/2006/main" xmlns:pic="http://schemas.openxmlformats.org/drawingml/2006/picture">
            <wp:extent cx="6400800" cy="35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fore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Period-aligned comparable companies</w:t>
      </w:r>
    </w:p>
    <w:p>
      <w:r>
        <w:t>Peer multiples use source-native TTM results through the latest reported period available by the valuation date. They are applied to Midea LTM metrics reconstructed as 2025A minus 2025Q1 plus 2026Q1. P/B uses 2026Q1 parent equity. EV/EBITDA is retained as a reference peer statistic but excluded from implied valuation because compatible Midea Q1 depreciation and amortization is unavailable. Selected peer/Midea period-basis mismatches are zero.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Multiple</w:t>
            </w:r>
          </w:p>
        </w:tc>
        <w:tc>
          <w:tcPr>
            <w:tcW w:type="dxa" w:w="3456"/>
          </w:tcPr>
          <w:p>
            <w:r>
              <w:t>Selected</w:t>
            </w:r>
          </w:p>
        </w:tc>
        <w:tc>
          <w:tcPr>
            <w:tcW w:type="dxa" w:w="3456"/>
          </w:tcPr>
          <w:p>
            <w:r>
              <w:t>Use</w:t>
            </w:r>
          </w:p>
        </w:tc>
      </w:tr>
      <w:tr>
        <w:tc>
          <w:tcPr>
            <w:tcW w:type="dxa" w:w="3456"/>
          </w:tcPr>
          <w:p>
            <w:r>
              <w:t>EV/EBIT</w:t>
            </w:r>
          </w:p>
        </w:tc>
        <w:tc>
          <w:tcPr>
            <w:tcW w:type="dxa" w:w="3456"/>
          </w:tcPr>
          <w:p>
            <w:r>
              <w:t>11.23x</w:t>
            </w:r>
          </w:p>
        </w:tc>
        <w:tc>
          <w:tcPr>
            <w:tcW w:type="dxa" w:w="3456"/>
          </w:tcPr>
          <w:p>
            <w:r>
              <w:t>Implied valuation</w:t>
            </w:r>
          </w:p>
        </w:tc>
      </w:tr>
      <w:tr>
        <w:tc>
          <w:tcPr>
            <w:tcW w:type="dxa" w:w="3456"/>
          </w:tcPr>
          <w:p>
            <w:r>
              <w:t>EV/EBITDA</w:t>
            </w:r>
          </w:p>
        </w:tc>
        <w:tc>
          <w:tcPr>
            <w:tcW w:type="dxa" w:w="3456"/>
          </w:tcPr>
          <w:p>
            <w:r>
              <w:t>7.40x</w:t>
            </w:r>
          </w:p>
        </w:tc>
        <w:tc>
          <w:tcPr>
            <w:tcW w:type="dxa" w:w="3456"/>
          </w:tcPr>
          <w:p>
            <w:r>
              <w:t>Reference only</w:t>
            </w:r>
          </w:p>
        </w:tc>
      </w:tr>
      <w:tr>
        <w:tc>
          <w:tcPr>
            <w:tcW w:type="dxa" w:w="3456"/>
          </w:tcPr>
          <w:p>
            <w:r>
              <w:t>EV/Revenue</w:t>
            </w:r>
          </w:p>
        </w:tc>
        <w:tc>
          <w:tcPr>
            <w:tcW w:type="dxa" w:w="3456"/>
          </w:tcPr>
          <w:p>
            <w:r>
              <w:t>1.06x</w:t>
            </w:r>
          </w:p>
        </w:tc>
        <w:tc>
          <w:tcPr>
            <w:tcW w:type="dxa" w:w="3456"/>
          </w:tcPr>
          <w:p>
            <w:r>
              <w:t>Implied valuation</w:t>
            </w:r>
          </w:p>
        </w:tc>
      </w:tr>
      <w:tr>
        <w:tc>
          <w:tcPr>
            <w:tcW w:type="dxa" w:w="3456"/>
          </w:tcPr>
          <w:p>
            <w:r>
              <w:t>P/B</w:t>
            </w:r>
          </w:p>
        </w:tc>
        <w:tc>
          <w:tcPr>
            <w:tcW w:type="dxa" w:w="3456"/>
          </w:tcPr>
          <w:p>
            <w:r>
              <w:t>1.88x</w:t>
            </w:r>
          </w:p>
        </w:tc>
        <w:tc>
          <w:tcPr>
            <w:tcW w:type="dxa" w:w="3456"/>
          </w:tcPr>
          <w:p>
            <w:r>
              <w:t>Implied valuation</w:t>
            </w:r>
          </w:p>
        </w:tc>
      </w:tr>
      <w:tr>
        <w:tc>
          <w:tcPr>
            <w:tcW w:type="dxa" w:w="3456"/>
          </w:tcPr>
          <w:p>
            <w:r>
              <w:t>P/E</w:t>
            </w:r>
          </w:p>
        </w:tc>
        <w:tc>
          <w:tcPr>
            <w:tcW w:type="dxa" w:w="3456"/>
          </w:tcPr>
          <w:p>
            <w:r>
              <w:t>17.57x</w:t>
            </w:r>
          </w:p>
        </w:tc>
        <w:tc>
          <w:tcPr>
            <w:tcW w:type="dxa" w:w="3456"/>
          </w:tcPr>
          <w:p>
            <w:r>
              <w:t>Implied valuation</w:t>
            </w:r>
          </w:p>
        </w:tc>
      </w:tr>
    </w:tbl>
    <w:p>
      <w:pPr>
        <w:pStyle w:val="Heading1"/>
      </w:pPr>
      <w:r>
        <w:t>Cash taxonomy and EV-to-equity bridge</w:t>
      </w:r>
    </w:p>
    <w:p>
      <w:r>
        <w:t>Balance-sheet cash reconciles to cash-flow cash equivalents plus restricted cash, term deposits, and an other taxonomy residual. The residual is a separately identified classification difference; the full reconciliation difference is not described as only restricted cash and term deposits. The EV-to-equity bridge adds excess cash after a source-reproduced minimum operating-cash reserve, CNY 155,362.528 million of current treasury products, and other non-operating investments; it deducts debt, NCI, and the CNY 706.439 million trading financial liability. Receivables financing remains in operating NWC and is not added again.</w:t>
      </w:r>
    </w:p>
    <w:p>
      <w:pPr>
        <w:pStyle w:val="Heading1"/>
      </w:pPr>
      <w:r>
        <w:t>Synthesis</w:t>
      </w:r>
    </w:p>
    <w:p>
      <w:r>
        <w:t>DCF remains the primary intrinsic method and indicates substantial upside. Period-aligned comps sit around or below market, while the DCF is terminal-value heavy. Reverse DCF indicates lower cash flow than the base forecast. The evidence supports a directional DCF upside signal with low confidence rather than a blended fair-value point estimate.</w:t>
      </w:r>
    </w:p>
    <w:p>
      <w:pPr>
        <w:pStyle w:val="Heading1"/>
      </w:pPr>
      <w:r>
        <w:t>Certification status</w:t>
      </w:r>
    </w:p>
    <w:p>
      <w:r>
        <w:t>Financial-model certification: PASS. Internal release certification: PASS upon package verification. Independent-role verification: PASS upon detached-root and cleanroom execution. True external certification remains PENDING_EXTERNAL_REVIEW until an external party verifies the final bytes.</w:t>
      </w:r>
    </w:p>
    <w:p>
      <w:pPr>
        <w:pStyle w:val="Heading1"/>
      </w:pPr>
      <w:r>
        <w:t>Key risks and catalysts</w:t>
      </w:r>
    </w:p>
    <w:p>
      <w:pPr>
        <w:pStyle w:val="ListBullet"/>
      </w:pPr>
      <w:r>
        <w:t>Terminal-value concentration</w:t>
      </w:r>
    </w:p>
    <w:p>
      <w:pPr>
        <w:pStyle w:val="ListBullet"/>
      </w:pPr>
      <w:r>
        <w:t>China appliance cycle</w:t>
      </w:r>
    </w:p>
    <w:p>
      <w:pPr>
        <w:pStyle w:val="ListBullet"/>
      </w:pPr>
      <w:r>
        <w:t>Margin and working-capital execution</w:t>
      </w:r>
    </w:p>
    <w:p>
      <w:pPr>
        <w:pStyle w:val="ListBullet"/>
      </w:pPr>
      <w:r>
        <w:t>Commodity and FX volatility</w:t>
      </w:r>
    </w:p>
    <w:p>
      <w:pPr>
        <w:pStyle w:val="ListBullet"/>
      </w:pPr>
      <w:r>
        <w:t>International competition</w:t>
      </w:r>
    </w:p>
    <w:p>
      <w:pPr>
        <w:pStyle w:val="ListBullet"/>
      </w:pPr>
      <w:r>
        <w:t>Capital-allocation and M&amp;A risk</w:t>
      </w:r>
    </w:p>
    <w:p>
      <w:pPr>
        <w:pStyle w:val="ListBullet2"/>
      </w:pPr>
      <w:r>
        <w:t>Sustained smart-home mix improvement</w:t>
      </w:r>
    </w:p>
    <w:p>
      <w:pPr>
        <w:pStyle w:val="ListBullet2"/>
      </w:pPr>
      <w:r>
        <w:t>Building-technology growth</w:t>
      </w:r>
    </w:p>
    <w:p>
      <w:pPr>
        <w:pStyle w:val="ListBullet2"/>
      </w:pPr>
      <w:r>
        <w:t>Industrial-technology recovery</w:t>
      </w:r>
    </w:p>
    <w:p>
      <w:pPr>
        <w:pStyle w:val="ListBullet2"/>
      </w:pPr>
      <w:r>
        <w:t>FCFF conversion</w:t>
      </w:r>
    </w:p>
    <w:p>
      <w:pPr>
        <w:pStyle w:val="ListBullet2"/>
      </w:pPr>
      <w:r>
        <w:t>Disciplined capital returns</w:t>
      </w:r>
    </w:p>
    <w:p>
      <w:pPr>
        <w:pStyle w:val="Heading1"/>
      </w:pPr>
      <w:r>
        <w:t>Limitations</w:t>
      </w:r>
    </w:p>
    <w:p>
      <w:r>
        <w:t>Peer fundamentals are provider-reported source-native measures and are not fully cross-GAAP restated. Peer period ends differ within the permitted TTM/latest-quarter framework. Market inputs are frozen at 11 September 2026. The package is designed for offline verification and does not fetch live data.</w:t>
      </w:r>
    </w:p>
    <w:sectPr w:rsidR="00FC693F" w:rsidRPr="0006063C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Midea Group | Final Release Revision R3 | Controlled valuation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