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State Ownership and Allocation Stability Under Regime-Sensitive Bayesian Portfolio Construction</w:t>
      </w:r>
    </w:p>
    <w:p>
      <w:r>
        <w:t>Author: Amit Kumar Dudi</w:t>
        <w:br/>
        <w:t>Prospective MSc Finance Applicant</w:t>
      </w:r>
    </w:p>
    <w:p/>
    <w:p>
      <w:r>
        <w:t>This research investigates the relationship between corporate ownership structures and portfolio allocation stability within Chinese equity markets, emphasizing the 2015 structural break regime. By developing a regime-sensitive Black–Litterman optimization framework, the study evaluates the differential behavior of State-Owned Enterprises (SOEs) compared to private firms under Bayesian construction methodologies. To mitigate estimation error and historical variance biases, the model integrates Ledoit–Wolf shrinkage covariance techniques and adaptive, volatility-driven uncertainty scaling (tau) alongside strict rolling out-of-sample backtesting mechanisms. The empirical analysis incorporates realistic transaction-cost frictions and isolates performance during severe market dislocations through exact pre-crisis weight freezing, permitting an unadulterated view of structural resilience. The central hypothesis examines whether the implicit state guarantees characterizing SOEs mechanically translate into enhanced allocation stability and downside protection during systemic equity shocks. Empirical results reveal that state ownership does not inherently guarantee portfolio-level stability or immunity from severe allocation drift under Bayesian frameworks. While SOEs may exhibit divergent volatility profiles compared to their private sector counterparts, the integration of regime-conditional prior blending highlights complexities in how these assets respond to structural breaks. The findings contribute to the quantitative discourse on emerging market portfolio construction, challenging conventional assumptions regarding sovereign-backed equities and demonstrating the critical necessity of regime-adaptive frameworks when optimizing across distinct ownership strata in China.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