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59F68" w14:textId="77777777" w:rsidR="00756382" w:rsidRPr="00AE188F" w:rsidRDefault="00000000" w:rsidP="00AE188F">
      <w:pPr>
        <w:pStyle w:val="Title"/>
        <w:spacing w:line="360" w:lineRule="auto"/>
        <w:jc w:val="center"/>
        <w:rPr>
          <w:rFonts w:ascii="Times New Roman" w:hAnsi="Times New Roman" w:cs="Times New Roman"/>
          <w:b/>
          <w:bCs/>
          <w:color w:val="4F81BD" w:themeColor="accent1"/>
          <w:sz w:val="28"/>
          <w:szCs w:val="28"/>
        </w:rPr>
      </w:pPr>
      <w:r w:rsidRPr="00AE188F">
        <w:rPr>
          <w:rFonts w:ascii="Times New Roman" w:hAnsi="Times New Roman" w:cs="Times New Roman"/>
          <w:b/>
          <w:bCs/>
          <w:color w:val="4F81BD" w:themeColor="accent1"/>
          <w:sz w:val="28"/>
          <w:szCs w:val="28"/>
        </w:rPr>
        <w:t>FINAL QUANTITATIVE RESEARCH RESULTS COMPENDIUM</w:t>
      </w:r>
    </w:p>
    <w:p w14:paraId="2E914474"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i/>
          <w:sz w:val="24"/>
          <w:szCs w:val="24"/>
        </w:rPr>
        <w:t>This compendium provides the exhaustive empirical results of the Regime-Sensitive Black-Litterman Tri-Market Portfolio Allocation Study. It includes all authoritative result tables, institutional-level metric explanations, and the forensic verification of the crisis recovery durations.</w:t>
      </w:r>
    </w:p>
    <w:p w14:paraId="15FBF0A8" w14:textId="77777777" w:rsidR="00756382" w:rsidRPr="00AE188F" w:rsidRDefault="00000000" w:rsidP="00AE188F">
      <w:pPr>
        <w:pStyle w:val="Heading2"/>
        <w:spacing w:line="360" w:lineRule="auto"/>
        <w:rPr>
          <w:rFonts w:ascii="Times New Roman" w:hAnsi="Times New Roman" w:cs="Times New Roman"/>
          <w:sz w:val="24"/>
          <w:szCs w:val="24"/>
        </w:rPr>
      </w:pPr>
      <w:r w:rsidRPr="00AE188F">
        <w:rPr>
          <w:rFonts w:ascii="Times New Roman" w:hAnsi="Times New Roman" w:cs="Times New Roman"/>
          <w:sz w:val="24"/>
          <w:szCs w:val="24"/>
        </w:rPr>
        <w:t>Table 1: Empirical Dataset Summary</w:t>
      </w:r>
    </w:p>
    <w:tbl>
      <w:tblPr>
        <w:tblStyle w:val="TableGrid"/>
        <w:tblW w:w="0" w:type="auto"/>
        <w:tblLook w:val="04A0" w:firstRow="1" w:lastRow="0" w:firstColumn="1" w:lastColumn="0" w:noHBand="0" w:noVBand="1"/>
      </w:tblPr>
      <w:tblGrid>
        <w:gridCol w:w="2160"/>
        <w:gridCol w:w="2160"/>
        <w:gridCol w:w="2160"/>
        <w:gridCol w:w="2160"/>
      </w:tblGrid>
      <w:tr w:rsidR="00756382" w:rsidRPr="00AE188F" w14:paraId="7B97822F" w14:textId="77777777">
        <w:tc>
          <w:tcPr>
            <w:tcW w:w="2160" w:type="dxa"/>
          </w:tcPr>
          <w:p w14:paraId="7D4C20B0"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Market</w:t>
            </w:r>
          </w:p>
        </w:tc>
        <w:tc>
          <w:tcPr>
            <w:tcW w:w="2160" w:type="dxa"/>
          </w:tcPr>
          <w:p w14:paraId="6C8F00F6"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Number of ETFs</w:t>
            </w:r>
          </w:p>
        </w:tc>
        <w:tc>
          <w:tcPr>
            <w:tcW w:w="2160" w:type="dxa"/>
          </w:tcPr>
          <w:p w14:paraId="4524D57A"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Sample Period</w:t>
            </w:r>
          </w:p>
        </w:tc>
        <w:tc>
          <w:tcPr>
            <w:tcW w:w="2160" w:type="dxa"/>
          </w:tcPr>
          <w:p w14:paraId="311E89C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Data Frequency</w:t>
            </w:r>
          </w:p>
        </w:tc>
      </w:tr>
      <w:tr w:rsidR="00756382" w:rsidRPr="00AE188F" w14:paraId="5360EEEF" w14:textId="77777777">
        <w:tc>
          <w:tcPr>
            <w:tcW w:w="2160" w:type="dxa"/>
          </w:tcPr>
          <w:p w14:paraId="7E6A337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United States</w:t>
            </w:r>
          </w:p>
        </w:tc>
        <w:tc>
          <w:tcPr>
            <w:tcW w:w="2160" w:type="dxa"/>
          </w:tcPr>
          <w:p w14:paraId="4B446552"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5</w:t>
            </w:r>
          </w:p>
        </w:tc>
        <w:tc>
          <w:tcPr>
            <w:tcW w:w="2160" w:type="dxa"/>
          </w:tcPr>
          <w:p w14:paraId="19EFCA9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2010–2025</w:t>
            </w:r>
          </w:p>
        </w:tc>
        <w:tc>
          <w:tcPr>
            <w:tcW w:w="2160" w:type="dxa"/>
          </w:tcPr>
          <w:p w14:paraId="1F3BC77E"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Daily</w:t>
            </w:r>
          </w:p>
        </w:tc>
      </w:tr>
      <w:tr w:rsidR="00756382" w:rsidRPr="00AE188F" w14:paraId="4C85C9EB" w14:textId="77777777">
        <w:tc>
          <w:tcPr>
            <w:tcW w:w="2160" w:type="dxa"/>
          </w:tcPr>
          <w:p w14:paraId="48BB2F93"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China</w:t>
            </w:r>
          </w:p>
        </w:tc>
        <w:tc>
          <w:tcPr>
            <w:tcW w:w="2160" w:type="dxa"/>
          </w:tcPr>
          <w:p w14:paraId="501CF1B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4</w:t>
            </w:r>
          </w:p>
        </w:tc>
        <w:tc>
          <w:tcPr>
            <w:tcW w:w="2160" w:type="dxa"/>
          </w:tcPr>
          <w:p w14:paraId="01710499"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2010–2025</w:t>
            </w:r>
          </w:p>
        </w:tc>
        <w:tc>
          <w:tcPr>
            <w:tcW w:w="2160" w:type="dxa"/>
          </w:tcPr>
          <w:p w14:paraId="67CA0745"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Daily</w:t>
            </w:r>
          </w:p>
        </w:tc>
      </w:tr>
      <w:tr w:rsidR="00756382" w:rsidRPr="00AE188F" w14:paraId="63ACE1BF" w14:textId="77777777">
        <w:tc>
          <w:tcPr>
            <w:tcW w:w="2160" w:type="dxa"/>
          </w:tcPr>
          <w:p w14:paraId="43A0183C"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India</w:t>
            </w:r>
          </w:p>
        </w:tc>
        <w:tc>
          <w:tcPr>
            <w:tcW w:w="2160" w:type="dxa"/>
          </w:tcPr>
          <w:p w14:paraId="6FCE83CB"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4</w:t>
            </w:r>
          </w:p>
        </w:tc>
        <w:tc>
          <w:tcPr>
            <w:tcW w:w="2160" w:type="dxa"/>
          </w:tcPr>
          <w:p w14:paraId="60A30652"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2010–2025</w:t>
            </w:r>
          </w:p>
        </w:tc>
        <w:tc>
          <w:tcPr>
            <w:tcW w:w="2160" w:type="dxa"/>
          </w:tcPr>
          <w:p w14:paraId="6936502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Daily</w:t>
            </w:r>
          </w:p>
        </w:tc>
      </w:tr>
    </w:tbl>
    <w:p w14:paraId="7A5D3B7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b/>
          <w:sz w:val="24"/>
          <w:szCs w:val="24"/>
        </w:rPr>
        <w:t>Numerical Explanation:</w:t>
      </w:r>
    </w:p>
    <w:p w14:paraId="65BF57B0"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The sample incorporates daily ETF pricing data from 2010 to 2025 across the United States (5 ETFs), China (4 ETFs), and India (4 ETFs), ensuring consistent data frequency constraints.</w:t>
      </w:r>
    </w:p>
    <w:p w14:paraId="7893E6C2"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b/>
          <w:sz w:val="24"/>
          <w:szCs w:val="24"/>
        </w:rPr>
        <w:t>Economic Intuition &amp; Cross-Market Comparison:</w:t>
      </w:r>
    </w:p>
    <w:p w14:paraId="5D0888ED"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The structural universe explicitly targets three fundamentally distinct regimes: Developed and highly efficient (US), Emerging and policy-driven (China), and Emerging high-growth directional momentum (India). This cross-sectional diversification isolates model performance across disparate liquidity and market microstructure dynamics.</w:t>
      </w:r>
    </w:p>
    <w:p w14:paraId="2B79CE08" w14:textId="77777777" w:rsidR="00756382" w:rsidRPr="00AE188F" w:rsidRDefault="00000000" w:rsidP="00AE188F">
      <w:pPr>
        <w:pStyle w:val="Heading2"/>
        <w:spacing w:line="360" w:lineRule="auto"/>
        <w:rPr>
          <w:rFonts w:ascii="Times New Roman" w:hAnsi="Times New Roman" w:cs="Times New Roman"/>
          <w:sz w:val="24"/>
          <w:szCs w:val="24"/>
        </w:rPr>
      </w:pPr>
      <w:r w:rsidRPr="00AE188F">
        <w:rPr>
          <w:rFonts w:ascii="Times New Roman" w:hAnsi="Times New Roman" w:cs="Times New Roman"/>
          <w:sz w:val="24"/>
          <w:szCs w:val="24"/>
        </w:rPr>
        <w:t>Table 2: Tri-Market Out-of-Sample Performance Results</w:t>
      </w:r>
    </w:p>
    <w:tbl>
      <w:tblPr>
        <w:tblStyle w:val="TableGrid"/>
        <w:tblW w:w="0" w:type="auto"/>
        <w:tblLook w:val="04A0" w:firstRow="1" w:lastRow="0" w:firstColumn="1" w:lastColumn="0" w:noHBand="0" w:noVBand="1"/>
      </w:tblPr>
      <w:tblGrid>
        <w:gridCol w:w="994"/>
        <w:gridCol w:w="1323"/>
        <w:gridCol w:w="978"/>
        <w:gridCol w:w="1136"/>
        <w:gridCol w:w="917"/>
        <w:gridCol w:w="1109"/>
        <w:gridCol w:w="1116"/>
        <w:gridCol w:w="1283"/>
      </w:tblGrid>
      <w:tr w:rsidR="00756382" w:rsidRPr="00AE188F" w14:paraId="13C65225" w14:textId="77777777">
        <w:tc>
          <w:tcPr>
            <w:tcW w:w="1080" w:type="dxa"/>
          </w:tcPr>
          <w:p w14:paraId="7AE1CBE4"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Market</w:t>
            </w:r>
          </w:p>
        </w:tc>
        <w:tc>
          <w:tcPr>
            <w:tcW w:w="1080" w:type="dxa"/>
          </w:tcPr>
          <w:p w14:paraId="4357D28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Model</w:t>
            </w:r>
          </w:p>
        </w:tc>
        <w:tc>
          <w:tcPr>
            <w:tcW w:w="1080" w:type="dxa"/>
          </w:tcPr>
          <w:p w14:paraId="1B336F44"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Return</w:t>
            </w:r>
          </w:p>
        </w:tc>
        <w:tc>
          <w:tcPr>
            <w:tcW w:w="1080" w:type="dxa"/>
          </w:tcPr>
          <w:p w14:paraId="1F40335C"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Volatility</w:t>
            </w:r>
          </w:p>
        </w:tc>
        <w:tc>
          <w:tcPr>
            <w:tcW w:w="1080" w:type="dxa"/>
          </w:tcPr>
          <w:p w14:paraId="7CFF17FA"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Sharpe</w:t>
            </w:r>
          </w:p>
        </w:tc>
        <w:tc>
          <w:tcPr>
            <w:tcW w:w="1080" w:type="dxa"/>
          </w:tcPr>
          <w:p w14:paraId="6147BD9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Turnover</w:t>
            </w:r>
          </w:p>
        </w:tc>
        <w:tc>
          <w:tcPr>
            <w:tcW w:w="1080" w:type="dxa"/>
          </w:tcPr>
          <w:p w14:paraId="1840454F"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ASI</w:t>
            </w:r>
          </w:p>
        </w:tc>
        <w:tc>
          <w:tcPr>
            <w:tcW w:w="1080" w:type="dxa"/>
          </w:tcPr>
          <w:p w14:paraId="74AFB52C"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Max Drawdown</w:t>
            </w:r>
          </w:p>
        </w:tc>
      </w:tr>
      <w:tr w:rsidR="00756382" w:rsidRPr="00AE188F" w14:paraId="71A71217" w14:textId="77777777">
        <w:tc>
          <w:tcPr>
            <w:tcW w:w="1080" w:type="dxa"/>
          </w:tcPr>
          <w:p w14:paraId="3A4A245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US</w:t>
            </w:r>
          </w:p>
        </w:tc>
        <w:tc>
          <w:tcPr>
            <w:tcW w:w="1080" w:type="dxa"/>
          </w:tcPr>
          <w:p w14:paraId="496101B6"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Black-Litterman</w:t>
            </w:r>
          </w:p>
        </w:tc>
        <w:tc>
          <w:tcPr>
            <w:tcW w:w="1080" w:type="dxa"/>
          </w:tcPr>
          <w:p w14:paraId="298B705F"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12.99%</w:t>
            </w:r>
          </w:p>
        </w:tc>
        <w:tc>
          <w:tcPr>
            <w:tcW w:w="1080" w:type="dxa"/>
          </w:tcPr>
          <w:p w14:paraId="6562AA6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20.00%</w:t>
            </w:r>
          </w:p>
        </w:tc>
        <w:tc>
          <w:tcPr>
            <w:tcW w:w="1080" w:type="dxa"/>
          </w:tcPr>
          <w:p w14:paraId="15300C9C"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0.650</w:t>
            </w:r>
          </w:p>
        </w:tc>
        <w:tc>
          <w:tcPr>
            <w:tcW w:w="1080" w:type="dxa"/>
          </w:tcPr>
          <w:p w14:paraId="6F60725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0.20%</w:t>
            </w:r>
          </w:p>
        </w:tc>
        <w:tc>
          <w:tcPr>
            <w:tcW w:w="1080" w:type="dxa"/>
          </w:tcPr>
          <w:p w14:paraId="620E8FB9"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0.001632</w:t>
            </w:r>
          </w:p>
        </w:tc>
        <w:tc>
          <w:tcPr>
            <w:tcW w:w="1080" w:type="dxa"/>
          </w:tcPr>
          <w:p w14:paraId="63ACA79D"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-38.04%</w:t>
            </w:r>
          </w:p>
        </w:tc>
      </w:tr>
      <w:tr w:rsidR="00756382" w:rsidRPr="00AE188F" w14:paraId="184FF0CE" w14:textId="77777777">
        <w:tc>
          <w:tcPr>
            <w:tcW w:w="1080" w:type="dxa"/>
          </w:tcPr>
          <w:p w14:paraId="316DF750"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US</w:t>
            </w:r>
          </w:p>
        </w:tc>
        <w:tc>
          <w:tcPr>
            <w:tcW w:w="1080" w:type="dxa"/>
          </w:tcPr>
          <w:p w14:paraId="62B594BF"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Markowitz</w:t>
            </w:r>
          </w:p>
        </w:tc>
        <w:tc>
          <w:tcPr>
            <w:tcW w:w="1080" w:type="dxa"/>
          </w:tcPr>
          <w:p w14:paraId="6B1857AC"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13.24%</w:t>
            </w:r>
          </w:p>
        </w:tc>
        <w:tc>
          <w:tcPr>
            <w:tcW w:w="1080" w:type="dxa"/>
          </w:tcPr>
          <w:p w14:paraId="1FE85E1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21.57%</w:t>
            </w:r>
          </w:p>
        </w:tc>
        <w:tc>
          <w:tcPr>
            <w:tcW w:w="1080" w:type="dxa"/>
          </w:tcPr>
          <w:p w14:paraId="306E74E5"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0.614</w:t>
            </w:r>
          </w:p>
        </w:tc>
        <w:tc>
          <w:tcPr>
            <w:tcW w:w="1080" w:type="dxa"/>
          </w:tcPr>
          <w:p w14:paraId="1887352F"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1.58%</w:t>
            </w:r>
          </w:p>
        </w:tc>
        <w:tc>
          <w:tcPr>
            <w:tcW w:w="1080" w:type="dxa"/>
          </w:tcPr>
          <w:p w14:paraId="16100433"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0.015365</w:t>
            </w:r>
          </w:p>
        </w:tc>
        <w:tc>
          <w:tcPr>
            <w:tcW w:w="1080" w:type="dxa"/>
          </w:tcPr>
          <w:p w14:paraId="7F7DCDDF"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-33.95%</w:t>
            </w:r>
          </w:p>
        </w:tc>
      </w:tr>
      <w:tr w:rsidR="00756382" w:rsidRPr="00AE188F" w14:paraId="53D98132" w14:textId="77777777">
        <w:tc>
          <w:tcPr>
            <w:tcW w:w="1080" w:type="dxa"/>
          </w:tcPr>
          <w:p w14:paraId="4DD5CE00"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US</w:t>
            </w:r>
          </w:p>
        </w:tc>
        <w:tc>
          <w:tcPr>
            <w:tcW w:w="1080" w:type="dxa"/>
          </w:tcPr>
          <w:p w14:paraId="1E4CB490"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Benchmark</w:t>
            </w:r>
          </w:p>
        </w:tc>
        <w:tc>
          <w:tcPr>
            <w:tcW w:w="1080" w:type="dxa"/>
          </w:tcPr>
          <w:p w14:paraId="7FB7B4A0"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13.19%</w:t>
            </w:r>
          </w:p>
        </w:tc>
        <w:tc>
          <w:tcPr>
            <w:tcW w:w="1080" w:type="dxa"/>
          </w:tcPr>
          <w:p w14:paraId="459966CB"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19.83%</w:t>
            </w:r>
          </w:p>
        </w:tc>
        <w:tc>
          <w:tcPr>
            <w:tcW w:w="1080" w:type="dxa"/>
          </w:tcPr>
          <w:p w14:paraId="29095F93"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0.665</w:t>
            </w:r>
          </w:p>
        </w:tc>
        <w:tc>
          <w:tcPr>
            <w:tcW w:w="1080" w:type="dxa"/>
          </w:tcPr>
          <w:p w14:paraId="67A45E7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N/A</w:t>
            </w:r>
          </w:p>
        </w:tc>
        <w:tc>
          <w:tcPr>
            <w:tcW w:w="1080" w:type="dxa"/>
          </w:tcPr>
          <w:p w14:paraId="27C91A2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N/A</w:t>
            </w:r>
          </w:p>
        </w:tc>
        <w:tc>
          <w:tcPr>
            <w:tcW w:w="1080" w:type="dxa"/>
          </w:tcPr>
          <w:p w14:paraId="68FD2DF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-37.87%</w:t>
            </w:r>
          </w:p>
        </w:tc>
      </w:tr>
      <w:tr w:rsidR="00756382" w:rsidRPr="00AE188F" w14:paraId="6282338C" w14:textId="77777777">
        <w:tc>
          <w:tcPr>
            <w:tcW w:w="1080" w:type="dxa"/>
          </w:tcPr>
          <w:p w14:paraId="5A3E4FE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CHINA</w:t>
            </w:r>
          </w:p>
        </w:tc>
        <w:tc>
          <w:tcPr>
            <w:tcW w:w="1080" w:type="dxa"/>
          </w:tcPr>
          <w:p w14:paraId="238C2A9C"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Black-</w:t>
            </w:r>
            <w:r w:rsidRPr="00AE188F">
              <w:rPr>
                <w:rFonts w:ascii="Times New Roman" w:hAnsi="Times New Roman" w:cs="Times New Roman"/>
                <w:sz w:val="24"/>
                <w:szCs w:val="24"/>
              </w:rPr>
              <w:lastRenderedPageBreak/>
              <w:t>Litterman</w:t>
            </w:r>
          </w:p>
        </w:tc>
        <w:tc>
          <w:tcPr>
            <w:tcW w:w="1080" w:type="dxa"/>
          </w:tcPr>
          <w:p w14:paraId="534B666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lastRenderedPageBreak/>
              <w:t>1.20%</w:t>
            </w:r>
          </w:p>
        </w:tc>
        <w:tc>
          <w:tcPr>
            <w:tcW w:w="1080" w:type="dxa"/>
          </w:tcPr>
          <w:p w14:paraId="0EA4856B"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28.45%</w:t>
            </w:r>
          </w:p>
        </w:tc>
        <w:tc>
          <w:tcPr>
            <w:tcW w:w="1080" w:type="dxa"/>
          </w:tcPr>
          <w:p w14:paraId="589F00FC"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0.042</w:t>
            </w:r>
          </w:p>
        </w:tc>
        <w:tc>
          <w:tcPr>
            <w:tcW w:w="1080" w:type="dxa"/>
          </w:tcPr>
          <w:p w14:paraId="66F5965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0.08%</w:t>
            </w:r>
          </w:p>
        </w:tc>
        <w:tc>
          <w:tcPr>
            <w:tcW w:w="1080" w:type="dxa"/>
          </w:tcPr>
          <w:p w14:paraId="76957CCA"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0.000391</w:t>
            </w:r>
          </w:p>
        </w:tc>
        <w:tc>
          <w:tcPr>
            <w:tcW w:w="1080" w:type="dxa"/>
          </w:tcPr>
          <w:p w14:paraId="5FE154E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-68.07%</w:t>
            </w:r>
          </w:p>
        </w:tc>
      </w:tr>
      <w:tr w:rsidR="00756382" w:rsidRPr="00AE188F" w14:paraId="0A8785DF" w14:textId="77777777">
        <w:tc>
          <w:tcPr>
            <w:tcW w:w="1080" w:type="dxa"/>
          </w:tcPr>
          <w:p w14:paraId="38006CB5"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CHINA</w:t>
            </w:r>
          </w:p>
        </w:tc>
        <w:tc>
          <w:tcPr>
            <w:tcW w:w="1080" w:type="dxa"/>
          </w:tcPr>
          <w:p w14:paraId="03573659"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Markowitz</w:t>
            </w:r>
          </w:p>
        </w:tc>
        <w:tc>
          <w:tcPr>
            <w:tcW w:w="1080" w:type="dxa"/>
          </w:tcPr>
          <w:p w14:paraId="43CC9899"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2.64%</w:t>
            </w:r>
          </w:p>
        </w:tc>
        <w:tc>
          <w:tcPr>
            <w:tcW w:w="1080" w:type="dxa"/>
          </w:tcPr>
          <w:p w14:paraId="1B06FC20"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30.19%</w:t>
            </w:r>
          </w:p>
        </w:tc>
        <w:tc>
          <w:tcPr>
            <w:tcW w:w="1080" w:type="dxa"/>
          </w:tcPr>
          <w:p w14:paraId="7603299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0.088</w:t>
            </w:r>
          </w:p>
        </w:tc>
        <w:tc>
          <w:tcPr>
            <w:tcW w:w="1080" w:type="dxa"/>
          </w:tcPr>
          <w:p w14:paraId="725FA17B"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1.12%</w:t>
            </w:r>
          </w:p>
        </w:tc>
        <w:tc>
          <w:tcPr>
            <w:tcW w:w="1080" w:type="dxa"/>
          </w:tcPr>
          <w:p w14:paraId="59C2CFDD"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0.010772</w:t>
            </w:r>
          </w:p>
        </w:tc>
        <w:tc>
          <w:tcPr>
            <w:tcW w:w="1080" w:type="dxa"/>
          </w:tcPr>
          <w:p w14:paraId="21AD2595"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-68.58%</w:t>
            </w:r>
          </w:p>
        </w:tc>
      </w:tr>
      <w:tr w:rsidR="00756382" w:rsidRPr="00AE188F" w14:paraId="0F4E744B" w14:textId="77777777">
        <w:tc>
          <w:tcPr>
            <w:tcW w:w="1080" w:type="dxa"/>
          </w:tcPr>
          <w:p w14:paraId="0C276D1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CHINA</w:t>
            </w:r>
          </w:p>
        </w:tc>
        <w:tc>
          <w:tcPr>
            <w:tcW w:w="1080" w:type="dxa"/>
          </w:tcPr>
          <w:p w14:paraId="5F90E43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Benchmark</w:t>
            </w:r>
          </w:p>
        </w:tc>
        <w:tc>
          <w:tcPr>
            <w:tcW w:w="1080" w:type="dxa"/>
          </w:tcPr>
          <w:p w14:paraId="54902284"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1.20%</w:t>
            </w:r>
          </w:p>
        </w:tc>
        <w:tc>
          <w:tcPr>
            <w:tcW w:w="1080" w:type="dxa"/>
          </w:tcPr>
          <w:p w14:paraId="38890A8E"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28.74%</w:t>
            </w:r>
          </w:p>
        </w:tc>
        <w:tc>
          <w:tcPr>
            <w:tcW w:w="1080" w:type="dxa"/>
          </w:tcPr>
          <w:p w14:paraId="7C66B2F0"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0.042</w:t>
            </w:r>
          </w:p>
        </w:tc>
        <w:tc>
          <w:tcPr>
            <w:tcW w:w="1080" w:type="dxa"/>
          </w:tcPr>
          <w:p w14:paraId="0AEB9ABA"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N/A</w:t>
            </w:r>
          </w:p>
        </w:tc>
        <w:tc>
          <w:tcPr>
            <w:tcW w:w="1080" w:type="dxa"/>
          </w:tcPr>
          <w:p w14:paraId="0B9B76AA"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N/A</w:t>
            </w:r>
          </w:p>
        </w:tc>
        <w:tc>
          <w:tcPr>
            <w:tcW w:w="1080" w:type="dxa"/>
          </w:tcPr>
          <w:p w14:paraId="662407DC"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-68.66%</w:t>
            </w:r>
          </w:p>
        </w:tc>
      </w:tr>
      <w:tr w:rsidR="00756382" w:rsidRPr="00AE188F" w14:paraId="17A96649" w14:textId="77777777">
        <w:tc>
          <w:tcPr>
            <w:tcW w:w="1080" w:type="dxa"/>
          </w:tcPr>
          <w:p w14:paraId="4FD00DE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INDIA</w:t>
            </w:r>
          </w:p>
        </w:tc>
        <w:tc>
          <w:tcPr>
            <w:tcW w:w="1080" w:type="dxa"/>
          </w:tcPr>
          <w:p w14:paraId="7BB23AA5"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Black-Litterman</w:t>
            </w:r>
          </w:p>
        </w:tc>
        <w:tc>
          <w:tcPr>
            <w:tcW w:w="1080" w:type="dxa"/>
          </w:tcPr>
          <w:p w14:paraId="7F80C313"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7.60%</w:t>
            </w:r>
          </w:p>
        </w:tc>
        <w:tc>
          <w:tcPr>
            <w:tcW w:w="1080" w:type="dxa"/>
          </w:tcPr>
          <w:p w14:paraId="09C8A8EA"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21.34%</w:t>
            </w:r>
          </w:p>
        </w:tc>
        <w:tc>
          <w:tcPr>
            <w:tcW w:w="1080" w:type="dxa"/>
          </w:tcPr>
          <w:p w14:paraId="7204D9F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0.356</w:t>
            </w:r>
          </w:p>
        </w:tc>
        <w:tc>
          <w:tcPr>
            <w:tcW w:w="1080" w:type="dxa"/>
          </w:tcPr>
          <w:p w14:paraId="3F2AEB7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0.07%</w:t>
            </w:r>
          </w:p>
        </w:tc>
        <w:tc>
          <w:tcPr>
            <w:tcW w:w="1080" w:type="dxa"/>
          </w:tcPr>
          <w:p w14:paraId="6C971AB3"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0.000322</w:t>
            </w:r>
          </w:p>
        </w:tc>
        <w:tc>
          <w:tcPr>
            <w:tcW w:w="1080" w:type="dxa"/>
          </w:tcPr>
          <w:p w14:paraId="7BE83E42"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-53.67%</w:t>
            </w:r>
          </w:p>
        </w:tc>
      </w:tr>
      <w:tr w:rsidR="00756382" w:rsidRPr="00AE188F" w14:paraId="16602A6B" w14:textId="77777777">
        <w:tc>
          <w:tcPr>
            <w:tcW w:w="1080" w:type="dxa"/>
          </w:tcPr>
          <w:p w14:paraId="58C5BF2E"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INDIA</w:t>
            </w:r>
          </w:p>
        </w:tc>
        <w:tc>
          <w:tcPr>
            <w:tcW w:w="1080" w:type="dxa"/>
          </w:tcPr>
          <w:p w14:paraId="35443E8C"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Markowitz</w:t>
            </w:r>
          </w:p>
        </w:tc>
        <w:tc>
          <w:tcPr>
            <w:tcW w:w="1080" w:type="dxa"/>
          </w:tcPr>
          <w:p w14:paraId="16205DD9"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9.76%</w:t>
            </w:r>
          </w:p>
        </w:tc>
        <w:tc>
          <w:tcPr>
            <w:tcW w:w="1080" w:type="dxa"/>
          </w:tcPr>
          <w:p w14:paraId="72BD1144"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22.18%</w:t>
            </w:r>
          </w:p>
        </w:tc>
        <w:tc>
          <w:tcPr>
            <w:tcW w:w="1080" w:type="dxa"/>
          </w:tcPr>
          <w:p w14:paraId="5A4C49D3"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0.440</w:t>
            </w:r>
          </w:p>
        </w:tc>
        <w:tc>
          <w:tcPr>
            <w:tcW w:w="1080" w:type="dxa"/>
          </w:tcPr>
          <w:p w14:paraId="3BB901B0"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0.82%</w:t>
            </w:r>
          </w:p>
        </w:tc>
        <w:tc>
          <w:tcPr>
            <w:tcW w:w="1080" w:type="dxa"/>
          </w:tcPr>
          <w:p w14:paraId="43829534"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0.007822</w:t>
            </w:r>
          </w:p>
        </w:tc>
        <w:tc>
          <w:tcPr>
            <w:tcW w:w="1080" w:type="dxa"/>
          </w:tcPr>
          <w:p w14:paraId="03A2C4AF"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-50.07%</w:t>
            </w:r>
          </w:p>
        </w:tc>
      </w:tr>
      <w:tr w:rsidR="00756382" w:rsidRPr="00AE188F" w14:paraId="1DF243BB" w14:textId="77777777">
        <w:tc>
          <w:tcPr>
            <w:tcW w:w="1080" w:type="dxa"/>
          </w:tcPr>
          <w:p w14:paraId="0248113C"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INDIA</w:t>
            </w:r>
          </w:p>
        </w:tc>
        <w:tc>
          <w:tcPr>
            <w:tcW w:w="1080" w:type="dxa"/>
          </w:tcPr>
          <w:p w14:paraId="21C9CD6A"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Benchmark</w:t>
            </w:r>
          </w:p>
        </w:tc>
        <w:tc>
          <w:tcPr>
            <w:tcW w:w="1080" w:type="dxa"/>
          </w:tcPr>
          <w:p w14:paraId="55DA3234"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7.54%</w:t>
            </w:r>
          </w:p>
        </w:tc>
        <w:tc>
          <w:tcPr>
            <w:tcW w:w="1080" w:type="dxa"/>
          </w:tcPr>
          <w:p w14:paraId="2EC4C57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21.33%</w:t>
            </w:r>
          </w:p>
        </w:tc>
        <w:tc>
          <w:tcPr>
            <w:tcW w:w="1080" w:type="dxa"/>
          </w:tcPr>
          <w:p w14:paraId="4DD73DA4"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0.353</w:t>
            </w:r>
          </w:p>
        </w:tc>
        <w:tc>
          <w:tcPr>
            <w:tcW w:w="1080" w:type="dxa"/>
          </w:tcPr>
          <w:p w14:paraId="5564A24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N/A</w:t>
            </w:r>
          </w:p>
        </w:tc>
        <w:tc>
          <w:tcPr>
            <w:tcW w:w="1080" w:type="dxa"/>
          </w:tcPr>
          <w:p w14:paraId="10B1841D"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N/A</w:t>
            </w:r>
          </w:p>
        </w:tc>
        <w:tc>
          <w:tcPr>
            <w:tcW w:w="1080" w:type="dxa"/>
          </w:tcPr>
          <w:p w14:paraId="0526009D"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-53.78%</w:t>
            </w:r>
          </w:p>
        </w:tc>
      </w:tr>
    </w:tbl>
    <w:p w14:paraId="721D155A"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b/>
          <w:sz w:val="24"/>
          <w:szCs w:val="24"/>
        </w:rPr>
        <w:t>Numerical Explanation:</w:t>
      </w:r>
    </w:p>
    <w:p w14:paraId="60C91547"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In tracking out-of-sample data, Black-Litterman achieves superior risk-adjusted performance in the US (Sharpe 0.650 vs 0.614). Conversely, Markowitz captures higher raw gross Sharpe ratios in Emerging Markets (China 0.088 vs 0.042; India 0.440 vs 0.356).</w:t>
      </w:r>
    </w:p>
    <w:p w14:paraId="1D42411A"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b/>
          <w:sz w:val="24"/>
          <w:szCs w:val="24"/>
        </w:rPr>
        <w:t>Economic Intuition &amp; Cross-Market Comparison:</w:t>
      </w:r>
    </w:p>
    <w:p w14:paraId="11C84309" w14:textId="02D8B7B2"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 xml:space="preserve">Why does Markowitz present higher Sharpe in Emerging Markets? Markowitz optimization </w:t>
      </w:r>
      <w:r w:rsidR="006A55EA" w:rsidRPr="00AE188F">
        <w:rPr>
          <w:rFonts w:ascii="Times New Roman" w:hAnsi="Times New Roman" w:cs="Times New Roman"/>
          <w:sz w:val="24"/>
          <w:szCs w:val="24"/>
        </w:rPr>
        <w:t>optimizes directly on sample estimates without imposing structural regularization</w:t>
      </w:r>
      <w:r w:rsidRPr="00AE188F">
        <w:rPr>
          <w:rFonts w:ascii="Times New Roman" w:hAnsi="Times New Roman" w:cs="Times New Roman"/>
          <w:sz w:val="24"/>
          <w:szCs w:val="24"/>
        </w:rPr>
        <w:t>. In trending emerging markets like India, this formulation aggressively loads into high-momentum assets, generating ostensibly superior raw returns. However, this momentum-concentration occurs entirely without risk budgeting. Why does Black-Litterman dominate developed markets? Bayesian shrinkage mathematically anchors expected returns to global capitalizations minimizing estimation errors, producing efficient returns when markets behave normally.</w:t>
      </w:r>
    </w:p>
    <w:p w14:paraId="4AC079C6" w14:textId="77777777" w:rsidR="00756382" w:rsidRPr="00AE188F" w:rsidRDefault="00000000" w:rsidP="00AE188F">
      <w:pPr>
        <w:pStyle w:val="Heading2"/>
        <w:spacing w:line="360" w:lineRule="auto"/>
        <w:rPr>
          <w:rFonts w:ascii="Times New Roman" w:hAnsi="Times New Roman" w:cs="Times New Roman"/>
          <w:sz w:val="24"/>
          <w:szCs w:val="24"/>
        </w:rPr>
      </w:pPr>
      <w:r w:rsidRPr="00AE188F">
        <w:rPr>
          <w:rFonts w:ascii="Times New Roman" w:hAnsi="Times New Roman" w:cs="Times New Roman"/>
          <w:sz w:val="24"/>
          <w:szCs w:val="24"/>
        </w:rPr>
        <w:t>Table 3: Institutional Implementation Feasibility (Turnover)</w:t>
      </w:r>
    </w:p>
    <w:tbl>
      <w:tblPr>
        <w:tblStyle w:val="TableGrid"/>
        <w:tblW w:w="0" w:type="auto"/>
        <w:tblLook w:val="04A0" w:firstRow="1" w:lastRow="0" w:firstColumn="1" w:lastColumn="0" w:noHBand="0" w:noVBand="1"/>
      </w:tblPr>
      <w:tblGrid>
        <w:gridCol w:w="2880"/>
        <w:gridCol w:w="2880"/>
        <w:gridCol w:w="2880"/>
      </w:tblGrid>
      <w:tr w:rsidR="00756382" w:rsidRPr="00AE188F" w14:paraId="6B9EED1D" w14:textId="77777777">
        <w:tc>
          <w:tcPr>
            <w:tcW w:w="2880" w:type="dxa"/>
          </w:tcPr>
          <w:p w14:paraId="550C8209"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Model</w:t>
            </w:r>
          </w:p>
        </w:tc>
        <w:tc>
          <w:tcPr>
            <w:tcW w:w="2880" w:type="dxa"/>
          </w:tcPr>
          <w:p w14:paraId="5BE57CB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Gross Strategy Turnover</w:t>
            </w:r>
          </w:p>
        </w:tc>
        <w:tc>
          <w:tcPr>
            <w:tcW w:w="2880" w:type="dxa"/>
          </w:tcPr>
          <w:p w14:paraId="0DED81F3"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Implied Implementation Feasibility</w:t>
            </w:r>
          </w:p>
        </w:tc>
      </w:tr>
      <w:tr w:rsidR="00756382" w:rsidRPr="00AE188F" w14:paraId="0E49901C" w14:textId="77777777">
        <w:tc>
          <w:tcPr>
            <w:tcW w:w="2880" w:type="dxa"/>
          </w:tcPr>
          <w:p w14:paraId="4AFB6752"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Black-Litterman</w:t>
            </w:r>
          </w:p>
        </w:tc>
        <w:tc>
          <w:tcPr>
            <w:tcW w:w="2880" w:type="dxa"/>
          </w:tcPr>
          <w:p w14:paraId="29B7A34F"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0.07% - 0.20%</w:t>
            </w:r>
          </w:p>
        </w:tc>
        <w:tc>
          <w:tcPr>
            <w:tcW w:w="2880" w:type="dxa"/>
          </w:tcPr>
          <w:p w14:paraId="0500E47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Institutional-Grade (Highly Stable)</w:t>
            </w:r>
          </w:p>
        </w:tc>
      </w:tr>
      <w:tr w:rsidR="00756382" w:rsidRPr="00AE188F" w14:paraId="7AA6F0BF" w14:textId="77777777">
        <w:tc>
          <w:tcPr>
            <w:tcW w:w="2880" w:type="dxa"/>
          </w:tcPr>
          <w:p w14:paraId="372A44B6"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Markowitz</w:t>
            </w:r>
          </w:p>
        </w:tc>
        <w:tc>
          <w:tcPr>
            <w:tcW w:w="2880" w:type="dxa"/>
          </w:tcPr>
          <w:p w14:paraId="6B9AB8FB"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0.82% - 1.58%</w:t>
            </w:r>
          </w:p>
        </w:tc>
        <w:tc>
          <w:tcPr>
            <w:tcW w:w="2880" w:type="dxa"/>
          </w:tcPr>
          <w:p w14:paraId="29B75E3C"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Friction-Heavy (Erodes alpha)</w:t>
            </w:r>
          </w:p>
        </w:tc>
      </w:tr>
    </w:tbl>
    <w:p w14:paraId="716EBE2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b/>
          <w:sz w:val="24"/>
          <w:szCs w:val="24"/>
        </w:rPr>
        <w:t>Numerical Explanation:</w:t>
      </w:r>
    </w:p>
    <w:p w14:paraId="4080E3CF"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lastRenderedPageBreak/>
        <w:t>The Allocation Stability Index (ASI) and annualized turnover confirm profound disparities. US turnover drops from 1.58% under Markowitz to 0.20% under Black-Litterman. In India, Black-Litterman generates a 0.07% turnover friction compared to Markowitz's 0.82%.</w:t>
      </w:r>
    </w:p>
    <w:p w14:paraId="2BB064BA"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b/>
          <w:sz w:val="24"/>
          <w:szCs w:val="24"/>
        </w:rPr>
        <w:t>Economic Intuition &amp; Cross-Market Comparison:</w:t>
      </w:r>
    </w:p>
    <w:p w14:paraId="2914F5F5" w14:textId="17EA96E3"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 xml:space="preserve">Why </w:t>
      </w:r>
      <w:proofErr w:type="gramStart"/>
      <w:r w:rsidRPr="00AE188F">
        <w:rPr>
          <w:rFonts w:ascii="Times New Roman" w:hAnsi="Times New Roman" w:cs="Times New Roman"/>
          <w:sz w:val="24"/>
          <w:szCs w:val="24"/>
        </w:rPr>
        <w:t>does</w:t>
      </w:r>
      <w:proofErr w:type="gramEnd"/>
      <w:r w:rsidRPr="00AE188F">
        <w:rPr>
          <w:rFonts w:ascii="Times New Roman" w:hAnsi="Times New Roman" w:cs="Times New Roman"/>
          <w:sz w:val="24"/>
          <w:szCs w:val="24"/>
        </w:rPr>
        <w:t xml:space="preserve"> Black-Litterman dominate in stability? Markowitz optimizers invariably interpret estimation error and temporary variance as structural alpha, generating </w:t>
      </w:r>
      <w:r w:rsidR="006A55EA" w:rsidRPr="00AE188F">
        <w:rPr>
          <w:rFonts w:ascii="Times New Roman" w:hAnsi="Times New Roman" w:cs="Times New Roman"/>
          <w:sz w:val="24"/>
          <w:szCs w:val="24"/>
        </w:rPr>
        <w:t>excessive sensitivity to estimation error resulting in pronounced weight instability</w:t>
      </w:r>
      <w:r w:rsidRPr="00AE188F">
        <w:rPr>
          <w:rFonts w:ascii="Times New Roman" w:hAnsi="Times New Roman" w:cs="Times New Roman"/>
          <w:sz w:val="24"/>
          <w:szCs w:val="24"/>
        </w:rPr>
        <w:t xml:space="preserve">. The Bayesian equilibrium vector natively suppresses this oscillation by restricting parameter maximization. The ASI hierarchy validates that Black-Litterman mathematically mitigates this unconstrained reallocation friction, making it </w:t>
      </w:r>
      <w:r w:rsidR="005657A6" w:rsidRPr="00AE188F">
        <w:rPr>
          <w:rFonts w:ascii="Times New Roman" w:hAnsi="Times New Roman" w:cs="Times New Roman"/>
          <w:sz w:val="24"/>
          <w:szCs w:val="24"/>
        </w:rPr>
        <w:t>a more institutionally viable allocation framework under realistic implementation constraints</w:t>
      </w:r>
      <w:r w:rsidRPr="00AE188F">
        <w:rPr>
          <w:rFonts w:ascii="Times New Roman" w:hAnsi="Times New Roman" w:cs="Times New Roman"/>
          <w:sz w:val="24"/>
          <w:szCs w:val="24"/>
        </w:rPr>
        <w:t>.</w:t>
      </w:r>
    </w:p>
    <w:p w14:paraId="242C8F4C" w14:textId="705446EC" w:rsidR="00756382" w:rsidRPr="00AE188F" w:rsidRDefault="00000000" w:rsidP="00AE188F">
      <w:pPr>
        <w:pStyle w:val="Heading2"/>
        <w:spacing w:line="360" w:lineRule="auto"/>
        <w:rPr>
          <w:rFonts w:ascii="Times New Roman" w:hAnsi="Times New Roman" w:cs="Times New Roman"/>
          <w:sz w:val="24"/>
          <w:szCs w:val="24"/>
        </w:rPr>
      </w:pPr>
      <w:r w:rsidRPr="00AE188F">
        <w:rPr>
          <w:rFonts w:ascii="Times New Roman" w:hAnsi="Times New Roman" w:cs="Times New Roman"/>
          <w:sz w:val="24"/>
          <w:szCs w:val="24"/>
        </w:rPr>
        <w:t>Table 4: Crisis Stress Testing Performance</w:t>
      </w:r>
    </w:p>
    <w:tbl>
      <w:tblPr>
        <w:tblStyle w:val="TableGrid"/>
        <w:tblW w:w="0" w:type="auto"/>
        <w:tblLook w:val="04A0" w:firstRow="1" w:lastRow="0" w:firstColumn="1" w:lastColumn="0" w:noHBand="0" w:noVBand="1"/>
      </w:tblPr>
      <w:tblGrid>
        <w:gridCol w:w="2070"/>
        <w:gridCol w:w="1290"/>
        <w:gridCol w:w="1392"/>
        <w:gridCol w:w="1396"/>
        <w:gridCol w:w="1354"/>
        <w:gridCol w:w="1354"/>
      </w:tblGrid>
      <w:tr w:rsidR="00756382" w:rsidRPr="00AE188F" w14:paraId="1E84D4D1" w14:textId="77777777">
        <w:tc>
          <w:tcPr>
            <w:tcW w:w="1440" w:type="dxa"/>
          </w:tcPr>
          <w:p w14:paraId="5C822189"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Crisis</w:t>
            </w:r>
          </w:p>
        </w:tc>
        <w:tc>
          <w:tcPr>
            <w:tcW w:w="1440" w:type="dxa"/>
          </w:tcPr>
          <w:p w14:paraId="074D7730"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Market</w:t>
            </w:r>
          </w:p>
        </w:tc>
        <w:tc>
          <w:tcPr>
            <w:tcW w:w="1440" w:type="dxa"/>
          </w:tcPr>
          <w:p w14:paraId="41E22DED"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Model</w:t>
            </w:r>
          </w:p>
        </w:tc>
        <w:tc>
          <w:tcPr>
            <w:tcW w:w="1440" w:type="dxa"/>
          </w:tcPr>
          <w:p w14:paraId="1D08AD80"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Max Drawdown</w:t>
            </w:r>
          </w:p>
        </w:tc>
        <w:tc>
          <w:tcPr>
            <w:tcW w:w="1440" w:type="dxa"/>
          </w:tcPr>
          <w:p w14:paraId="70F4B72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Volatility Spike</w:t>
            </w:r>
          </w:p>
        </w:tc>
        <w:tc>
          <w:tcPr>
            <w:tcW w:w="1440" w:type="dxa"/>
          </w:tcPr>
          <w:p w14:paraId="77234116"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Recovery Duration (Trading Days)</w:t>
            </w:r>
          </w:p>
        </w:tc>
      </w:tr>
      <w:tr w:rsidR="00756382" w:rsidRPr="00AE188F" w14:paraId="343DA173" w14:textId="77777777">
        <w:tc>
          <w:tcPr>
            <w:tcW w:w="1440" w:type="dxa"/>
          </w:tcPr>
          <w:p w14:paraId="68E51816"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2008_US_GFC</w:t>
            </w:r>
          </w:p>
        </w:tc>
        <w:tc>
          <w:tcPr>
            <w:tcW w:w="1440" w:type="dxa"/>
          </w:tcPr>
          <w:p w14:paraId="37D9ECBE"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United States</w:t>
            </w:r>
          </w:p>
        </w:tc>
        <w:tc>
          <w:tcPr>
            <w:tcW w:w="1440" w:type="dxa"/>
          </w:tcPr>
          <w:p w14:paraId="3E5C0C5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Black-Litterman</w:t>
            </w:r>
          </w:p>
        </w:tc>
        <w:tc>
          <w:tcPr>
            <w:tcW w:w="1440" w:type="dxa"/>
          </w:tcPr>
          <w:p w14:paraId="6C514A5A"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-62.57%</w:t>
            </w:r>
          </w:p>
        </w:tc>
        <w:tc>
          <w:tcPr>
            <w:tcW w:w="1440" w:type="dxa"/>
          </w:tcPr>
          <w:p w14:paraId="059E511D"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1.94x</w:t>
            </w:r>
          </w:p>
        </w:tc>
        <w:tc>
          <w:tcPr>
            <w:tcW w:w="1440" w:type="dxa"/>
          </w:tcPr>
          <w:p w14:paraId="259A8719"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1093</w:t>
            </w:r>
          </w:p>
        </w:tc>
      </w:tr>
      <w:tr w:rsidR="00756382" w:rsidRPr="00AE188F" w14:paraId="3D8F294E" w14:textId="77777777">
        <w:tc>
          <w:tcPr>
            <w:tcW w:w="1440" w:type="dxa"/>
          </w:tcPr>
          <w:p w14:paraId="3B678AAD"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2008_US_GFC</w:t>
            </w:r>
          </w:p>
        </w:tc>
        <w:tc>
          <w:tcPr>
            <w:tcW w:w="1440" w:type="dxa"/>
          </w:tcPr>
          <w:p w14:paraId="0E3FD6C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United States</w:t>
            </w:r>
          </w:p>
        </w:tc>
        <w:tc>
          <w:tcPr>
            <w:tcW w:w="1440" w:type="dxa"/>
          </w:tcPr>
          <w:p w14:paraId="421F7885"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Markowitz</w:t>
            </w:r>
          </w:p>
        </w:tc>
        <w:tc>
          <w:tcPr>
            <w:tcW w:w="1440" w:type="dxa"/>
          </w:tcPr>
          <w:p w14:paraId="4C5F533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-62.18%</w:t>
            </w:r>
          </w:p>
        </w:tc>
        <w:tc>
          <w:tcPr>
            <w:tcW w:w="1440" w:type="dxa"/>
          </w:tcPr>
          <w:p w14:paraId="00076695"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1.93x</w:t>
            </w:r>
          </w:p>
        </w:tc>
        <w:tc>
          <w:tcPr>
            <w:tcW w:w="1440" w:type="dxa"/>
          </w:tcPr>
          <w:p w14:paraId="36F70532"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1056</w:t>
            </w:r>
          </w:p>
        </w:tc>
      </w:tr>
      <w:tr w:rsidR="00756382" w:rsidRPr="00AE188F" w14:paraId="6AD5295D" w14:textId="77777777">
        <w:tc>
          <w:tcPr>
            <w:tcW w:w="1440" w:type="dxa"/>
          </w:tcPr>
          <w:p w14:paraId="38306A2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2015_China_Crash</w:t>
            </w:r>
          </w:p>
        </w:tc>
        <w:tc>
          <w:tcPr>
            <w:tcW w:w="1440" w:type="dxa"/>
          </w:tcPr>
          <w:p w14:paraId="34654BAF"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China</w:t>
            </w:r>
          </w:p>
        </w:tc>
        <w:tc>
          <w:tcPr>
            <w:tcW w:w="1440" w:type="dxa"/>
          </w:tcPr>
          <w:p w14:paraId="2D15598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Black-Litterman</w:t>
            </w:r>
          </w:p>
        </w:tc>
        <w:tc>
          <w:tcPr>
            <w:tcW w:w="1440" w:type="dxa"/>
          </w:tcPr>
          <w:p w14:paraId="271891E5"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-43.42%</w:t>
            </w:r>
          </w:p>
        </w:tc>
        <w:tc>
          <w:tcPr>
            <w:tcW w:w="1440" w:type="dxa"/>
          </w:tcPr>
          <w:p w14:paraId="74A1CFB6"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1.92x</w:t>
            </w:r>
          </w:p>
        </w:tc>
        <w:tc>
          <w:tcPr>
            <w:tcW w:w="1440" w:type="dxa"/>
          </w:tcPr>
          <w:p w14:paraId="7EAA6AEE"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458</w:t>
            </w:r>
          </w:p>
        </w:tc>
      </w:tr>
      <w:tr w:rsidR="00756382" w:rsidRPr="00AE188F" w14:paraId="51FE97DF" w14:textId="77777777">
        <w:tc>
          <w:tcPr>
            <w:tcW w:w="1440" w:type="dxa"/>
          </w:tcPr>
          <w:p w14:paraId="0EA0CD33"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2015_China_Crash</w:t>
            </w:r>
          </w:p>
        </w:tc>
        <w:tc>
          <w:tcPr>
            <w:tcW w:w="1440" w:type="dxa"/>
          </w:tcPr>
          <w:p w14:paraId="49ECCD1B"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China</w:t>
            </w:r>
          </w:p>
        </w:tc>
        <w:tc>
          <w:tcPr>
            <w:tcW w:w="1440" w:type="dxa"/>
          </w:tcPr>
          <w:p w14:paraId="1C856BC3"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Markowitz</w:t>
            </w:r>
          </w:p>
        </w:tc>
        <w:tc>
          <w:tcPr>
            <w:tcW w:w="1440" w:type="dxa"/>
          </w:tcPr>
          <w:p w14:paraId="4583E15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-43.82%</w:t>
            </w:r>
          </w:p>
        </w:tc>
        <w:tc>
          <w:tcPr>
            <w:tcW w:w="1440" w:type="dxa"/>
          </w:tcPr>
          <w:p w14:paraId="6F68CE13"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1.95x</w:t>
            </w:r>
          </w:p>
        </w:tc>
        <w:tc>
          <w:tcPr>
            <w:tcW w:w="1440" w:type="dxa"/>
          </w:tcPr>
          <w:p w14:paraId="22B69854"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459</w:t>
            </w:r>
          </w:p>
        </w:tc>
      </w:tr>
      <w:tr w:rsidR="00756382" w:rsidRPr="00AE188F" w14:paraId="68CF76C9" w14:textId="77777777">
        <w:tc>
          <w:tcPr>
            <w:tcW w:w="1440" w:type="dxa"/>
          </w:tcPr>
          <w:p w14:paraId="2F15192F"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2020_India_Covid</w:t>
            </w:r>
          </w:p>
        </w:tc>
        <w:tc>
          <w:tcPr>
            <w:tcW w:w="1440" w:type="dxa"/>
          </w:tcPr>
          <w:p w14:paraId="5773EB60"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India</w:t>
            </w:r>
          </w:p>
        </w:tc>
        <w:tc>
          <w:tcPr>
            <w:tcW w:w="1440" w:type="dxa"/>
          </w:tcPr>
          <w:p w14:paraId="1519B0C6"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Black-Litterman</w:t>
            </w:r>
          </w:p>
        </w:tc>
        <w:tc>
          <w:tcPr>
            <w:tcW w:w="1440" w:type="dxa"/>
          </w:tcPr>
          <w:p w14:paraId="159F48D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-47.44%</w:t>
            </w:r>
          </w:p>
        </w:tc>
        <w:tc>
          <w:tcPr>
            <w:tcW w:w="1440" w:type="dxa"/>
          </w:tcPr>
          <w:p w14:paraId="1AB925D6"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3.39x</w:t>
            </w:r>
          </w:p>
        </w:tc>
        <w:tc>
          <w:tcPr>
            <w:tcW w:w="1440" w:type="dxa"/>
          </w:tcPr>
          <w:p w14:paraId="4BED472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176</w:t>
            </w:r>
          </w:p>
        </w:tc>
      </w:tr>
      <w:tr w:rsidR="00756382" w:rsidRPr="00AE188F" w14:paraId="04B5AAB2" w14:textId="77777777">
        <w:tc>
          <w:tcPr>
            <w:tcW w:w="1440" w:type="dxa"/>
          </w:tcPr>
          <w:p w14:paraId="7A0CF22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2020_India_Covid</w:t>
            </w:r>
          </w:p>
        </w:tc>
        <w:tc>
          <w:tcPr>
            <w:tcW w:w="1440" w:type="dxa"/>
          </w:tcPr>
          <w:p w14:paraId="5DB1D885"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India</w:t>
            </w:r>
          </w:p>
        </w:tc>
        <w:tc>
          <w:tcPr>
            <w:tcW w:w="1440" w:type="dxa"/>
          </w:tcPr>
          <w:p w14:paraId="0ACC3BF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Markowitz</w:t>
            </w:r>
          </w:p>
        </w:tc>
        <w:tc>
          <w:tcPr>
            <w:tcW w:w="1440" w:type="dxa"/>
          </w:tcPr>
          <w:p w14:paraId="58251772"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-47.48%</w:t>
            </w:r>
          </w:p>
        </w:tc>
        <w:tc>
          <w:tcPr>
            <w:tcW w:w="1440" w:type="dxa"/>
          </w:tcPr>
          <w:p w14:paraId="22014A6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3.40x</w:t>
            </w:r>
          </w:p>
        </w:tc>
        <w:tc>
          <w:tcPr>
            <w:tcW w:w="1440" w:type="dxa"/>
          </w:tcPr>
          <w:p w14:paraId="2690310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176</w:t>
            </w:r>
          </w:p>
        </w:tc>
      </w:tr>
    </w:tbl>
    <w:p w14:paraId="48621746"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b/>
          <w:sz w:val="24"/>
          <w:szCs w:val="24"/>
        </w:rPr>
        <w:t>Numerical Explanation:</w:t>
      </w:r>
    </w:p>
    <w:p w14:paraId="7623C380"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lastRenderedPageBreak/>
        <w:t>Crisis recovery durations have been formally audited and corrected. Recovery timelines measure trading days strictly from trough to initial crisis valuation V(t0). Results: US 2008 GFC: 1,093 (BL) and 1,056 (MW); China 2015: 458 (BL) and 459 (MW); India 2020: 176 (BL) and 176 (MW).</w:t>
      </w:r>
    </w:p>
    <w:p w14:paraId="4DABA509" w14:textId="58B792C4" w:rsidR="005657A6" w:rsidRPr="00AE188F" w:rsidRDefault="005657A6"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This convergence reflects the dominance of systematic risk during crisis periods, where cross-asset correlations approach unity, thereby diminishing the influence of portfolio construction methodology on recovery dynamics.</w:t>
      </w:r>
    </w:p>
    <w:p w14:paraId="550FF4FE"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b/>
          <w:sz w:val="24"/>
          <w:szCs w:val="24"/>
        </w:rPr>
        <w:t>Economic Intuition &amp; Cross-Market Comparison:</w:t>
      </w:r>
    </w:p>
    <w:p w14:paraId="603698E7"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Why do crisis recoveries frequently converge? During terminal liquidity contractions (e.g. 2020 India COVID shock), inter-asset correlation spikes toward 1.0. When standard deviations and beta universally align irrespective of fundamental allocation weights, the mathematical recovery duration converges precisely. In contrast, the minor recovery difference in the US market reflects the distinct structural trajectories of heavily concentrated portfolios in an environment of heterogeneous tech/financial recovery paths.</w:t>
      </w:r>
    </w:p>
    <w:p w14:paraId="2994AD96" w14:textId="77777777" w:rsidR="00756382" w:rsidRPr="00AE188F" w:rsidRDefault="00000000" w:rsidP="00AE188F">
      <w:pPr>
        <w:pStyle w:val="Heading2"/>
        <w:spacing w:line="360" w:lineRule="auto"/>
        <w:rPr>
          <w:rFonts w:ascii="Times New Roman" w:hAnsi="Times New Roman" w:cs="Times New Roman"/>
          <w:sz w:val="24"/>
          <w:szCs w:val="24"/>
        </w:rPr>
      </w:pPr>
      <w:r w:rsidRPr="00AE188F">
        <w:rPr>
          <w:rFonts w:ascii="Times New Roman" w:hAnsi="Times New Roman" w:cs="Times New Roman"/>
          <w:sz w:val="24"/>
          <w:szCs w:val="24"/>
        </w:rPr>
        <w:t>Table 5: Fama-French + Momentum Factor Exposure</w:t>
      </w:r>
    </w:p>
    <w:tbl>
      <w:tblPr>
        <w:tblStyle w:val="TableGrid"/>
        <w:tblW w:w="0" w:type="auto"/>
        <w:tblLook w:val="04A0" w:firstRow="1" w:lastRow="0" w:firstColumn="1" w:lastColumn="0" w:noHBand="0" w:noVBand="1"/>
      </w:tblPr>
      <w:tblGrid>
        <w:gridCol w:w="784"/>
        <w:gridCol w:w="820"/>
        <w:gridCol w:w="634"/>
        <w:gridCol w:w="807"/>
        <w:gridCol w:w="702"/>
        <w:gridCol w:w="792"/>
        <w:gridCol w:w="591"/>
        <w:gridCol w:w="807"/>
        <w:gridCol w:w="605"/>
        <w:gridCol w:w="842"/>
        <w:gridCol w:w="702"/>
        <w:gridCol w:w="770"/>
      </w:tblGrid>
      <w:tr w:rsidR="00756382" w:rsidRPr="00AE188F" w14:paraId="2789A102" w14:textId="77777777">
        <w:tc>
          <w:tcPr>
            <w:tcW w:w="720" w:type="dxa"/>
          </w:tcPr>
          <w:p w14:paraId="47D41AE6"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Portfolio</w:t>
            </w:r>
          </w:p>
        </w:tc>
        <w:tc>
          <w:tcPr>
            <w:tcW w:w="720" w:type="dxa"/>
          </w:tcPr>
          <w:p w14:paraId="2F18C75E"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Alpha_Ann</w:t>
            </w:r>
          </w:p>
        </w:tc>
        <w:tc>
          <w:tcPr>
            <w:tcW w:w="720" w:type="dxa"/>
          </w:tcPr>
          <w:p w14:paraId="64A52482"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t_Alpha</w:t>
            </w:r>
          </w:p>
        </w:tc>
        <w:tc>
          <w:tcPr>
            <w:tcW w:w="720" w:type="dxa"/>
          </w:tcPr>
          <w:p w14:paraId="2E767462"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Beta_MKT</w:t>
            </w:r>
          </w:p>
        </w:tc>
        <w:tc>
          <w:tcPr>
            <w:tcW w:w="720" w:type="dxa"/>
          </w:tcPr>
          <w:p w14:paraId="115B8F53"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t_MKT</w:t>
            </w:r>
          </w:p>
        </w:tc>
        <w:tc>
          <w:tcPr>
            <w:tcW w:w="720" w:type="dxa"/>
          </w:tcPr>
          <w:p w14:paraId="00960DB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Beta_SMB</w:t>
            </w:r>
          </w:p>
        </w:tc>
        <w:tc>
          <w:tcPr>
            <w:tcW w:w="720" w:type="dxa"/>
          </w:tcPr>
          <w:p w14:paraId="1798DF8D"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t_SMB</w:t>
            </w:r>
          </w:p>
        </w:tc>
        <w:tc>
          <w:tcPr>
            <w:tcW w:w="720" w:type="dxa"/>
          </w:tcPr>
          <w:p w14:paraId="5EC4F54B"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Beta_HML</w:t>
            </w:r>
          </w:p>
        </w:tc>
        <w:tc>
          <w:tcPr>
            <w:tcW w:w="720" w:type="dxa"/>
          </w:tcPr>
          <w:p w14:paraId="4503381E"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t_HML</w:t>
            </w:r>
          </w:p>
        </w:tc>
        <w:tc>
          <w:tcPr>
            <w:tcW w:w="720" w:type="dxa"/>
          </w:tcPr>
          <w:p w14:paraId="278CAE6B"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Beta_MOM</w:t>
            </w:r>
          </w:p>
        </w:tc>
        <w:tc>
          <w:tcPr>
            <w:tcW w:w="720" w:type="dxa"/>
          </w:tcPr>
          <w:p w14:paraId="5B0BF85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t_MOM</w:t>
            </w:r>
          </w:p>
        </w:tc>
        <w:tc>
          <w:tcPr>
            <w:tcW w:w="720" w:type="dxa"/>
          </w:tcPr>
          <w:p w14:paraId="754307A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R_squared</w:t>
            </w:r>
          </w:p>
        </w:tc>
      </w:tr>
      <w:tr w:rsidR="00756382" w:rsidRPr="00AE188F" w14:paraId="05718C66" w14:textId="77777777">
        <w:tc>
          <w:tcPr>
            <w:tcW w:w="720" w:type="dxa"/>
          </w:tcPr>
          <w:p w14:paraId="65F28FA2"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Black-Litterman</w:t>
            </w:r>
          </w:p>
        </w:tc>
        <w:tc>
          <w:tcPr>
            <w:tcW w:w="720" w:type="dxa"/>
          </w:tcPr>
          <w:p w14:paraId="257D25C0"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-0.0427</w:t>
            </w:r>
          </w:p>
        </w:tc>
        <w:tc>
          <w:tcPr>
            <w:tcW w:w="720" w:type="dxa"/>
          </w:tcPr>
          <w:p w14:paraId="4D1DFFCE"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-1.213</w:t>
            </w:r>
          </w:p>
        </w:tc>
        <w:tc>
          <w:tcPr>
            <w:tcW w:w="720" w:type="dxa"/>
          </w:tcPr>
          <w:p w14:paraId="12EB5F80"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0.821</w:t>
            </w:r>
          </w:p>
        </w:tc>
        <w:tc>
          <w:tcPr>
            <w:tcW w:w="720" w:type="dxa"/>
          </w:tcPr>
          <w:p w14:paraId="6ABB66EC"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37.72***</w:t>
            </w:r>
          </w:p>
        </w:tc>
        <w:tc>
          <w:tcPr>
            <w:tcW w:w="720" w:type="dxa"/>
          </w:tcPr>
          <w:p w14:paraId="3268592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0.0525</w:t>
            </w:r>
          </w:p>
        </w:tc>
        <w:tc>
          <w:tcPr>
            <w:tcW w:w="720" w:type="dxa"/>
          </w:tcPr>
          <w:p w14:paraId="6830285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2.083*</w:t>
            </w:r>
          </w:p>
        </w:tc>
        <w:tc>
          <w:tcPr>
            <w:tcW w:w="720" w:type="dxa"/>
          </w:tcPr>
          <w:p w14:paraId="1A87A9C2"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-0.0012</w:t>
            </w:r>
          </w:p>
        </w:tc>
        <w:tc>
          <w:tcPr>
            <w:tcW w:w="720" w:type="dxa"/>
          </w:tcPr>
          <w:p w14:paraId="61883464"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-0.056</w:t>
            </w:r>
          </w:p>
        </w:tc>
        <w:tc>
          <w:tcPr>
            <w:tcW w:w="720" w:type="dxa"/>
          </w:tcPr>
          <w:p w14:paraId="414ED405"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-0.0144</w:t>
            </w:r>
          </w:p>
        </w:tc>
        <w:tc>
          <w:tcPr>
            <w:tcW w:w="720" w:type="dxa"/>
          </w:tcPr>
          <w:p w14:paraId="082888AE"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-0.856</w:t>
            </w:r>
          </w:p>
        </w:tc>
        <w:tc>
          <w:tcPr>
            <w:tcW w:w="720" w:type="dxa"/>
          </w:tcPr>
          <w:p w14:paraId="16102BEB"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0.6346</w:t>
            </w:r>
          </w:p>
        </w:tc>
      </w:tr>
      <w:tr w:rsidR="00756382" w:rsidRPr="00AE188F" w14:paraId="297E072C" w14:textId="77777777">
        <w:tc>
          <w:tcPr>
            <w:tcW w:w="720" w:type="dxa"/>
          </w:tcPr>
          <w:p w14:paraId="7023D71B"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Markowitz</w:t>
            </w:r>
          </w:p>
        </w:tc>
        <w:tc>
          <w:tcPr>
            <w:tcW w:w="720" w:type="dxa"/>
          </w:tcPr>
          <w:p w14:paraId="2A000D89"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-0.0738</w:t>
            </w:r>
          </w:p>
        </w:tc>
        <w:tc>
          <w:tcPr>
            <w:tcW w:w="720" w:type="dxa"/>
          </w:tcPr>
          <w:p w14:paraId="5F141BCE"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-1.418</w:t>
            </w:r>
          </w:p>
        </w:tc>
        <w:tc>
          <w:tcPr>
            <w:tcW w:w="720" w:type="dxa"/>
          </w:tcPr>
          <w:p w14:paraId="217BA24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0.904</w:t>
            </w:r>
          </w:p>
        </w:tc>
        <w:tc>
          <w:tcPr>
            <w:tcW w:w="720" w:type="dxa"/>
          </w:tcPr>
          <w:p w14:paraId="1F0D3B9C"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39.46***</w:t>
            </w:r>
          </w:p>
        </w:tc>
        <w:tc>
          <w:tcPr>
            <w:tcW w:w="720" w:type="dxa"/>
          </w:tcPr>
          <w:p w14:paraId="59B4A3E4"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-0.0217</w:t>
            </w:r>
          </w:p>
        </w:tc>
        <w:tc>
          <w:tcPr>
            <w:tcW w:w="720" w:type="dxa"/>
          </w:tcPr>
          <w:p w14:paraId="020041F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-0.743</w:t>
            </w:r>
          </w:p>
        </w:tc>
        <w:tc>
          <w:tcPr>
            <w:tcW w:w="720" w:type="dxa"/>
          </w:tcPr>
          <w:p w14:paraId="5EEF55EE"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0.0117</w:t>
            </w:r>
          </w:p>
        </w:tc>
        <w:tc>
          <w:tcPr>
            <w:tcW w:w="720" w:type="dxa"/>
          </w:tcPr>
          <w:p w14:paraId="1EC063F5"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0.491</w:t>
            </w:r>
          </w:p>
        </w:tc>
        <w:tc>
          <w:tcPr>
            <w:tcW w:w="720" w:type="dxa"/>
          </w:tcPr>
          <w:p w14:paraId="55C765F9"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0.1150</w:t>
            </w:r>
          </w:p>
        </w:tc>
        <w:tc>
          <w:tcPr>
            <w:tcW w:w="720" w:type="dxa"/>
          </w:tcPr>
          <w:p w14:paraId="5D9FF59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6.597***</w:t>
            </w:r>
          </w:p>
        </w:tc>
        <w:tc>
          <w:tcPr>
            <w:tcW w:w="720" w:type="dxa"/>
          </w:tcPr>
          <w:p w14:paraId="5C9DB6E3"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0.4860</w:t>
            </w:r>
          </w:p>
        </w:tc>
      </w:tr>
    </w:tbl>
    <w:p w14:paraId="62E5DB4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b/>
          <w:sz w:val="24"/>
          <w:szCs w:val="24"/>
        </w:rPr>
        <w:t>Numerical Explanation:</w:t>
      </w:r>
    </w:p>
    <w:p w14:paraId="27193644" w14:textId="77777777" w:rsidR="00756382" w:rsidRPr="00AE188F" w:rsidRDefault="00000000" w:rsidP="00AE188F">
      <w:pPr>
        <w:spacing w:line="360" w:lineRule="auto"/>
        <w:jc w:val="center"/>
        <w:rPr>
          <w:rFonts w:ascii="Times New Roman" w:hAnsi="Times New Roman" w:cs="Times New Roman"/>
          <w:sz w:val="24"/>
          <w:szCs w:val="24"/>
        </w:rPr>
      </w:pPr>
      <w:proofErr w:type="gramStart"/>
      <w:r w:rsidRPr="00AE188F">
        <w:rPr>
          <w:rFonts w:ascii="Times New Roman" w:hAnsi="Times New Roman" w:cs="Times New Roman"/>
          <w:sz w:val="24"/>
          <w:szCs w:val="24"/>
        </w:rPr>
        <w:t>R_{p,t</w:t>
      </w:r>
      <w:proofErr w:type="gramEnd"/>
      <w:r w:rsidRPr="00AE188F">
        <w:rPr>
          <w:rFonts w:ascii="Times New Roman" w:hAnsi="Times New Roman" w:cs="Times New Roman"/>
          <w:sz w:val="24"/>
          <w:szCs w:val="24"/>
        </w:rPr>
        <w:t xml:space="preserve">} - </w:t>
      </w:r>
      <w:proofErr w:type="gramStart"/>
      <w:r w:rsidRPr="00AE188F">
        <w:rPr>
          <w:rFonts w:ascii="Times New Roman" w:hAnsi="Times New Roman" w:cs="Times New Roman"/>
          <w:sz w:val="24"/>
          <w:szCs w:val="24"/>
        </w:rPr>
        <w:t>R_{f,t</w:t>
      </w:r>
      <w:proofErr w:type="gramEnd"/>
      <w:r w:rsidRPr="00AE188F">
        <w:rPr>
          <w:rFonts w:ascii="Times New Roman" w:hAnsi="Times New Roman" w:cs="Times New Roman"/>
          <w:sz w:val="24"/>
          <w:szCs w:val="24"/>
        </w:rPr>
        <w:t xml:space="preserve">} = alpha + </w:t>
      </w:r>
      <w:proofErr w:type="gramStart"/>
      <w:r w:rsidRPr="00AE188F">
        <w:rPr>
          <w:rFonts w:ascii="Times New Roman" w:hAnsi="Times New Roman" w:cs="Times New Roman"/>
          <w:sz w:val="24"/>
          <w:szCs w:val="24"/>
        </w:rPr>
        <w:t>beta_{MKT} *</w:t>
      </w:r>
      <w:proofErr w:type="gramEnd"/>
      <w:r w:rsidRPr="00AE188F">
        <w:rPr>
          <w:rFonts w:ascii="Times New Roman" w:hAnsi="Times New Roman" w:cs="Times New Roman"/>
          <w:sz w:val="24"/>
          <w:szCs w:val="24"/>
        </w:rPr>
        <w:t xml:space="preserve"> MKT_t + </w:t>
      </w:r>
      <w:proofErr w:type="gramStart"/>
      <w:r w:rsidRPr="00AE188F">
        <w:rPr>
          <w:rFonts w:ascii="Times New Roman" w:hAnsi="Times New Roman" w:cs="Times New Roman"/>
          <w:sz w:val="24"/>
          <w:szCs w:val="24"/>
        </w:rPr>
        <w:t>beta_{SMB} *</w:t>
      </w:r>
      <w:proofErr w:type="gramEnd"/>
      <w:r w:rsidRPr="00AE188F">
        <w:rPr>
          <w:rFonts w:ascii="Times New Roman" w:hAnsi="Times New Roman" w:cs="Times New Roman"/>
          <w:sz w:val="24"/>
          <w:szCs w:val="24"/>
        </w:rPr>
        <w:t xml:space="preserve"> SMB_t + </w:t>
      </w:r>
      <w:proofErr w:type="gramStart"/>
      <w:r w:rsidRPr="00AE188F">
        <w:rPr>
          <w:rFonts w:ascii="Times New Roman" w:hAnsi="Times New Roman" w:cs="Times New Roman"/>
          <w:sz w:val="24"/>
          <w:szCs w:val="24"/>
        </w:rPr>
        <w:t>beta_{HML} *</w:t>
      </w:r>
      <w:proofErr w:type="gramEnd"/>
      <w:r w:rsidRPr="00AE188F">
        <w:rPr>
          <w:rFonts w:ascii="Times New Roman" w:hAnsi="Times New Roman" w:cs="Times New Roman"/>
          <w:sz w:val="24"/>
          <w:szCs w:val="24"/>
        </w:rPr>
        <w:t xml:space="preserve"> HML_t + </w:t>
      </w:r>
      <w:proofErr w:type="gramStart"/>
      <w:r w:rsidRPr="00AE188F">
        <w:rPr>
          <w:rFonts w:ascii="Times New Roman" w:hAnsi="Times New Roman" w:cs="Times New Roman"/>
          <w:sz w:val="24"/>
          <w:szCs w:val="24"/>
        </w:rPr>
        <w:t>beta_{MOM} *</w:t>
      </w:r>
      <w:proofErr w:type="gramEnd"/>
      <w:r w:rsidRPr="00AE188F">
        <w:rPr>
          <w:rFonts w:ascii="Times New Roman" w:hAnsi="Times New Roman" w:cs="Times New Roman"/>
          <w:sz w:val="24"/>
          <w:szCs w:val="24"/>
        </w:rPr>
        <w:t xml:space="preserve"> MOM_t + epsilon_t</w:t>
      </w:r>
    </w:p>
    <w:p w14:paraId="0D438687"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lastRenderedPageBreak/>
        <w:t>Factor data is obtained directly from the Kenneth French Data Library using pandas_datareader.</w:t>
      </w:r>
    </w:p>
    <w:p w14:paraId="728CA8E1"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Regression results definitively indicate that neither model generates statistically significant idiosyncratic outperformance (BL alpha = -0.0427, p=0.2253; MW alpha = -0.0738, p=0.1562). Momentum beta (MOM) is statistically significant exclusively in Markowitz.</w:t>
      </w:r>
    </w:p>
    <w:p w14:paraId="1937B6A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b/>
          <w:sz w:val="24"/>
          <w:szCs w:val="24"/>
        </w:rPr>
        <w:t>Economic Intuition:</w:t>
      </w:r>
    </w:p>
    <w:p w14:paraId="0966E256" w14:textId="0BD1AC83"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 xml:space="preserve">The lack of significant alpha fundamentally validates that portfolio returns scale uniquely with systematic beta loading rather than isolated stock-picking idiosyncrasies. </w:t>
      </w:r>
      <w:r w:rsidR="00830798" w:rsidRPr="00AE188F">
        <w:rPr>
          <w:rFonts w:ascii="Times New Roman" w:hAnsi="Times New Roman" w:cs="Times New Roman"/>
          <w:sz w:val="24"/>
          <w:szCs w:val="24"/>
        </w:rPr>
        <w:t xml:space="preserve">The Markowitz portfolio exhibits implicit exposure to the momentum factor, which contributes to its observed outperformance in trending market environments </w:t>
      </w:r>
      <w:r w:rsidRPr="00AE188F">
        <w:rPr>
          <w:rFonts w:ascii="Times New Roman" w:hAnsi="Times New Roman" w:cs="Times New Roman"/>
          <w:sz w:val="24"/>
          <w:szCs w:val="24"/>
        </w:rPr>
        <w:t>in trending emerging cohorts, confirming it functions essentially as an unmanaged momentum systematic factor strategy.</w:t>
      </w:r>
    </w:p>
    <w:p w14:paraId="4B05C386" w14:textId="77777777" w:rsidR="00756382" w:rsidRPr="00AE188F" w:rsidRDefault="00000000" w:rsidP="00AE188F">
      <w:pPr>
        <w:pStyle w:val="Heading2"/>
        <w:spacing w:line="360" w:lineRule="auto"/>
        <w:rPr>
          <w:rFonts w:ascii="Times New Roman" w:hAnsi="Times New Roman" w:cs="Times New Roman"/>
          <w:sz w:val="24"/>
          <w:szCs w:val="24"/>
        </w:rPr>
      </w:pPr>
      <w:r w:rsidRPr="00AE188F">
        <w:rPr>
          <w:rFonts w:ascii="Times New Roman" w:hAnsi="Times New Roman" w:cs="Times New Roman"/>
          <w:sz w:val="24"/>
          <w:szCs w:val="24"/>
        </w:rPr>
        <w:t>Table 6: Chinese Structural Ownership Study (SOE vs Private)</w:t>
      </w:r>
    </w:p>
    <w:tbl>
      <w:tblPr>
        <w:tblStyle w:val="TableGrid"/>
        <w:tblW w:w="0" w:type="auto"/>
        <w:tblLook w:val="04A0" w:firstRow="1" w:lastRow="0" w:firstColumn="1" w:lastColumn="0" w:noHBand="0" w:noVBand="1"/>
      </w:tblPr>
      <w:tblGrid>
        <w:gridCol w:w="2880"/>
        <w:gridCol w:w="2880"/>
        <w:gridCol w:w="2880"/>
      </w:tblGrid>
      <w:tr w:rsidR="00756382" w:rsidRPr="00AE188F" w14:paraId="5CC6C689" w14:textId="77777777">
        <w:tc>
          <w:tcPr>
            <w:tcW w:w="2880" w:type="dxa"/>
          </w:tcPr>
          <w:p w14:paraId="372AD40E"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Metric</w:t>
            </w:r>
          </w:p>
        </w:tc>
        <w:tc>
          <w:tcPr>
            <w:tcW w:w="2880" w:type="dxa"/>
          </w:tcPr>
          <w:p w14:paraId="0115F7E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State-Owned Enterprises (SOE)</w:t>
            </w:r>
          </w:p>
        </w:tc>
        <w:tc>
          <w:tcPr>
            <w:tcW w:w="2880" w:type="dxa"/>
          </w:tcPr>
          <w:p w14:paraId="42D4121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Private Enterprises</w:t>
            </w:r>
          </w:p>
        </w:tc>
      </w:tr>
      <w:tr w:rsidR="00756382" w:rsidRPr="00AE188F" w14:paraId="7D63666B" w14:textId="77777777">
        <w:tc>
          <w:tcPr>
            <w:tcW w:w="2880" w:type="dxa"/>
          </w:tcPr>
          <w:p w14:paraId="50BB5454"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Annualized Net Return</w:t>
            </w:r>
          </w:p>
        </w:tc>
        <w:tc>
          <w:tcPr>
            <w:tcW w:w="2880" w:type="dxa"/>
          </w:tcPr>
          <w:p w14:paraId="3D9EFD32"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11.49%</w:t>
            </w:r>
          </w:p>
        </w:tc>
        <w:tc>
          <w:tcPr>
            <w:tcW w:w="2880" w:type="dxa"/>
          </w:tcPr>
          <w:p w14:paraId="17644979"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22.96%</w:t>
            </w:r>
          </w:p>
        </w:tc>
      </w:tr>
      <w:tr w:rsidR="00756382" w:rsidRPr="00AE188F" w14:paraId="66473B23" w14:textId="77777777">
        <w:tc>
          <w:tcPr>
            <w:tcW w:w="2880" w:type="dxa"/>
          </w:tcPr>
          <w:p w14:paraId="695D114D"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Annualized Volatility</w:t>
            </w:r>
          </w:p>
        </w:tc>
        <w:tc>
          <w:tcPr>
            <w:tcW w:w="2880" w:type="dxa"/>
          </w:tcPr>
          <w:p w14:paraId="326DAFAF"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20.51%</w:t>
            </w:r>
          </w:p>
        </w:tc>
        <w:tc>
          <w:tcPr>
            <w:tcW w:w="2880" w:type="dxa"/>
          </w:tcPr>
          <w:p w14:paraId="34F997F4"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25.64%</w:t>
            </w:r>
          </w:p>
        </w:tc>
      </w:tr>
      <w:tr w:rsidR="00756382" w:rsidRPr="00AE188F" w14:paraId="2FA46C32" w14:textId="77777777">
        <w:tc>
          <w:tcPr>
            <w:tcW w:w="2880" w:type="dxa"/>
          </w:tcPr>
          <w:p w14:paraId="55B4A334"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Sharpe Ratio</w:t>
            </w:r>
          </w:p>
        </w:tc>
        <w:tc>
          <w:tcPr>
            <w:tcW w:w="2880" w:type="dxa"/>
          </w:tcPr>
          <w:p w14:paraId="0DE5D48A"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0.41</w:t>
            </w:r>
          </w:p>
        </w:tc>
        <w:tc>
          <w:tcPr>
            <w:tcW w:w="2880" w:type="dxa"/>
          </w:tcPr>
          <w:p w14:paraId="45177305"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0.78</w:t>
            </w:r>
          </w:p>
        </w:tc>
      </w:tr>
      <w:tr w:rsidR="00756382" w:rsidRPr="00AE188F" w14:paraId="4E2C5EAE" w14:textId="77777777">
        <w:tc>
          <w:tcPr>
            <w:tcW w:w="2880" w:type="dxa"/>
          </w:tcPr>
          <w:p w14:paraId="51D78AC9"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Maximum Drawdown</w:t>
            </w:r>
          </w:p>
        </w:tc>
        <w:tc>
          <w:tcPr>
            <w:tcW w:w="2880" w:type="dxa"/>
          </w:tcPr>
          <w:p w14:paraId="54F42BF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-43.63%</w:t>
            </w:r>
          </w:p>
        </w:tc>
        <w:tc>
          <w:tcPr>
            <w:tcW w:w="2880" w:type="dxa"/>
          </w:tcPr>
          <w:p w14:paraId="36469E1C"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-39.11%</w:t>
            </w:r>
          </w:p>
        </w:tc>
      </w:tr>
      <w:tr w:rsidR="00756382" w:rsidRPr="00AE188F" w14:paraId="30438AF3" w14:textId="77777777">
        <w:tc>
          <w:tcPr>
            <w:tcW w:w="2880" w:type="dxa"/>
          </w:tcPr>
          <w:p w14:paraId="1739102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Average Turnover</w:t>
            </w:r>
          </w:p>
        </w:tc>
        <w:tc>
          <w:tcPr>
            <w:tcW w:w="2880" w:type="dxa"/>
          </w:tcPr>
          <w:p w14:paraId="032C907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7.32%</w:t>
            </w:r>
          </w:p>
        </w:tc>
        <w:tc>
          <w:tcPr>
            <w:tcW w:w="2880" w:type="dxa"/>
          </w:tcPr>
          <w:p w14:paraId="5FADF95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15.79%</w:t>
            </w:r>
          </w:p>
        </w:tc>
      </w:tr>
    </w:tbl>
    <w:p w14:paraId="2A365EED"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b/>
          <w:sz w:val="24"/>
          <w:szCs w:val="24"/>
        </w:rPr>
        <w:t>Numerical Explanation:</w:t>
      </w:r>
    </w:p>
    <w:p w14:paraId="02E46AFD"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SOEs achieved a Sharpe of 0.41 versus Private enterprises at 0.78. The Jobson-Korkie statistical evaluation yields a p-value of 0.572.</w:t>
      </w:r>
    </w:p>
    <w:p w14:paraId="0FE92AEE"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b/>
          <w:sz w:val="24"/>
          <w:szCs w:val="24"/>
        </w:rPr>
        <w:t>Economic Intuition:</w:t>
      </w:r>
    </w:p>
    <w:p w14:paraId="7F2096B8" w14:textId="42EB67C3"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 xml:space="preserve">The structural analysis </w:t>
      </w:r>
      <w:r w:rsidR="00830798" w:rsidRPr="00AE188F">
        <w:rPr>
          <w:rFonts w:ascii="Times New Roman" w:hAnsi="Times New Roman" w:cs="Times New Roman"/>
          <w:sz w:val="24"/>
          <w:szCs w:val="24"/>
        </w:rPr>
        <w:t>fails to reject H4 under standard statistical significance thresholds</w:t>
      </w:r>
      <w:r w:rsidRPr="00AE188F">
        <w:rPr>
          <w:rFonts w:ascii="Times New Roman" w:hAnsi="Times New Roman" w:cs="Times New Roman"/>
          <w:sz w:val="24"/>
          <w:szCs w:val="24"/>
        </w:rPr>
        <w:t xml:space="preserve">. While Private enterprises visibly map stronger absolute descriptive parameters, the statistical failure means that state ownership itself does not provide symmetric protection </w:t>
      </w:r>
      <w:r w:rsidRPr="00AE188F">
        <w:rPr>
          <w:rFonts w:ascii="Times New Roman" w:hAnsi="Times New Roman" w:cs="Times New Roman"/>
          <w:sz w:val="24"/>
          <w:szCs w:val="24"/>
        </w:rPr>
        <w:lastRenderedPageBreak/>
        <w:t>nor measurable downside buffers inside optimized allocations during aggregate deleveraging.</w:t>
      </w:r>
    </w:p>
    <w:p w14:paraId="204312C6" w14:textId="77777777" w:rsidR="00756382" w:rsidRPr="00AE188F" w:rsidRDefault="00000000" w:rsidP="00AE188F">
      <w:pPr>
        <w:pStyle w:val="Heading2"/>
        <w:spacing w:line="360" w:lineRule="auto"/>
        <w:rPr>
          <w:rFonts w:ascii="Times New Roman" w:hAnsi="Times New Roman" w:cs="Times New Roman"/>
          <w:sz w:val="24"/>
          <w:szCs w:val="24"/>
        </w:rPr>
      </w:pPr>
      <w:r w:rsidRPr="00AE188F">
        <w:rPr>
          <w:rFonts w:ascii="Times New Roman" w:hAnsi="Times New Roman" w:cs="Times New Roman"/>
          <w:sz w:val="24"/>
          <w:szCs w:val="24"/>
        </w:rPr>
        <w:t>Table 7: Markov Regime Switching Conditional Performance</w:t>
      </w:r>
    </w:p>
    <w:tbl>
      <w:tblPr>
        <w:tblStyle w:val="TableGrid"/>
        <w:tblW w:w="0" w:type="auto"/>
        <w:tblLook w:val="04A0" w:firstRow="1" w:lastRow="0" w:firstColumn="1" w:lastColumn="0" w:noHBand="0" w:noVBand="1"/>
      </w:tblPr>
      <w:tblGrid>
        <w:gridCol w:w="1728"/>
        <w:gridCol w:w="1728"/>
        <w:gridCol w:w="1728"/>
        <w:gridCol w:w="1728"/>
        <w:gridCol w:w="1728"/>
      </w:tblGrid>
      <w:tr w:rsidR="00756382" w:rsidRPr="00AE188F" w14:paraId="5B1F3BC8" w14:textId="77777777">
        <w:tc>
          <w:tcPr>
            <w:tcW w:w="1728" w:type="dxa"/>
          </w:tcPr>
          <w:p w14:paraId="4833E835"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Regime</w:t>
            </w:r>
          </w:p>
        </w:tc>
        <w:tc>
          <w:tcPr>
            <w:tcW w:w="1728" w:type="dxa"/>
          </w:tcPr>
          <w:p w14:paraId="0A600E8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BL Sharpe</w:t>
            </w:r>
          </w:p>
        </w:tc>
        <w:tc>
          <w:tcPr>
            <w:tcW w:w="1728" w:type="dxa"/>
          </w:tcPr>
          <w:p w14:paraId="2219F948"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Markowitz Sharpe</w:t>
            </w:r>
          </w:p>
        </w:tc>
        <w:tc>
          <w:tcPr>
            <w:tcW w:w="1728" w:type="dxa"/>
          </w:tcPr>
          <w:p w14:paraId="597D0763"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BL Return</w:t>
            </w:r>
          </w:p>
        </w:tc>
        <w:tc>
          <w:tcPr>
            <w:tcW w:w="1728" w:type="dxa"/>
          </w:tcPr>
          <w:p w14:paraId="2C913EB4"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MV Return</w:t>
            </w:r>
          </w:p>
        </w:tc>
      </w:tr>
      <w:tr w:rsidR="00756382" w:rsidRPr="00AE188F" w14:paraId="65751C32" w14:textId="77777777">
        <w:tc>
          <w:tcPr>
            <w:tcW w:w="1728" w:type="dxa"/>
          </w:tcPr>
          <w:p w14:paraId="584550EE"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Low_Vol</w:t>
            </w:r>
          </w:p>
        </w:tc>
        <w:tc>
          <w:tcPr>
            <w:tcW w:w="1728" w:type="dxa"/>
          </w:tcPr>
          <w:p w14:paraId="763E9C2A"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1.282</w:t>
            </w:r>
          </w:p>
        </w:tc>
        <w:tc>
          <w:tcPr>
            <w:tcW w:w="1728" w:type="dxa"/>
          </w:tcPr>
          <w:p w14:paraId="5AF9F210"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1.397</w:t>
            </w:r>
          </w:p>
        </w:tc>
        <w:tc>
          <w:tcPr>
            <w:tcW w:w="1728" w:type="dxa"/>
          </w:tcPr>
          <w:p w14:paraId="41C844ED"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17.27%</w:t>
            </w:r>
          </w:p>
        </w:tc>
        <w:tc>
          <w:tcPr>
            <w:tcW w:w="1728" w:type="dxa"/>
          </w:tcPr>
          <w:p w14:paraId="3B090E44"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19.80%</w:t>
            </w:r>
          </w:p>
        </w:tc>
      </w:tr>
      <w:tr w:rsidR="00756382" w:rsidRPr="00AE188F" w14:paraId="64C470CA" w14:textId="77777777">
        <w:tc>
          <w:tcPr>
            <w:tcW w:w="1728" w:type="dxa"/>
          </w:tcPr>
          <w:p w14:paraId="58C78DAB"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High_Vol</w:t>
            </w:r>
          </w:p>
        </w:tc>
        <w:tc>
          <w:tcPr>
            <w:tcW w:w="1728" w:type="dxa"/>
          </w:tcPr>
          <w:p w14:paraId="7A92BB59"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-0.934</w:t>
            </w:r>
          </w:p>
        </w:tc>
        <w:tc>
          <w:tcPr>
            <w:tcW w:w="1728" w:type="dxa"/>
          </w:tcPr>
          <w:p w14:paraId="6A2A4A8D"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-1.045</w:t>
            </w:r>
          </w:p>
        </w:tc>
        <w:tc>
          <w:tcPr>
            <w:tcW w:w="1728" w:type="dxa"/>
          </w:tcPr>
          <w:p w14:paraId="737B01EC"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-31.22%</w:t>
            </w:r>
          </w:p>
        </w:tc>
        <w:tc>
          <w:tcPr>
            <w:tcW w:w="1728" w:type="dxa"/>
          </w:tcPr>
          <w:p w14:paraId="5105C0DB"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-34.71%</w:t>
            </w:r>
          </w:p>
        </w:tc>
      </w:tr>
    </w:tbl>
    <w:p w14:paraId="5F27F06A"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b/>
          <w:sz w:val="24"/>
          <w:szCs w:val="24"/>
        </w:rPr>
        <w:t>Numerical Explanation:</w:t>
      </w:r>
    </w:p>
    <w:p w14:paraId="1A3EF617"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Markowitz captures superior risk-adjusted ratios in Low Volatility regimes (1.397 vs 1.282), while Black-Litterman systematically mitigates terminal loss magnitude during High Volatility systemic transitions (-0.934 vs -1.045).</w:t>
      </w:r>
    </w:p>
    <w:p w14:paraId="7C739330"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b/>
          <w:sz w:val="24"/>
          <w:szCs w:val="24"/>
        </w:rPr>
        <w:t>Economic Intuition:</w:t>
      </w:r>
    </w:p>
    <w:p w14:paraId="78E29989"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Bayesian shrinkage acts precisely as a structural dampener when historical variance explodes unpredictably, preventing models from extrapolating low-</w:t>
      </w:r>
      <w:proofErr w:type="gramStart"/>
      <w:r w:rsidRPr="00AE188F">
        <w:rPr>
          <w:rFonts w:ascii="Times New Roman" w:hAnsi="Times New Roman" w:cs="Times New Roman"/>
          <w:sz w:val="24"/>
          <w:szCs w:val="24"/>
        </w:rPr>
        <w:t>volatility</w:t>
      </w:r>
      <w:proofErr w:type="gramEnd"/>
      <w:r w:rsidRPr="00AE188F">
        <w:rPr>
          <w:rFonts w:ascii="Times New Roman" w:hAnsi="Times New Roman" w:cs="Times New Roman"/>
          <w:sz w:val="24"/>
          <w:szCs w:val="24"/>
        </w:rPr>
        <w:t xml:space="preserve"> structural assumptions directly into tail-risk distributions.</w:t>
      </w:r>
    </w:p>
    <w:p w14:paraId="28291BC6" w14:textId="77777777" w:rsidR="00756382" w:rsidRPr="00AE188F" w:rsidRDefault="00000000" w:rsidP="00AE188F">
      <w:pPr>
        <w:pStyle w:val="Heading2"/>
        <w:spacing w:line="360" w:lineRule="auto"/>
        <w:rPr>
          <w:rFonts w:ascii="Times New Roman" w:hAnsi="Times New Roman" w:cs="Times New Roman"/>
          <w:sz w:val="24"/>
          <w:szCs w:val="24"/>
        </w:rPr>
      </w:pPr>
      <w:r w:rsidRPr="00AE188F">
        <w:rPr>
          <w:rFonts w:ascii="Times New Roman" w:hAnsi="Times New Roman" w:cs="Times New Roman"/>
          <w:sz w:val="24"/>
          <w:szCs w:val="24"/>
        </w:rPr>
        <w:t>Table 8: Robustness Analysis (Tau Parameter)</w:t>
      </w:r>
    </w:p>
    <w:tbl>
      <w:tblPr>
        <w:tblStyle w:val="TableGrid"/>
        <w:tblW w:w="0" w:type="auto"/>
        <w:tblLook w:val="04A0" w:firstRow="1" w:lastRow="0" w:firstColumn="1" w:lastColumn="0" w:noHBand="0" w:noVBand="1"/>
      </w:tblPr>
      <w:tblGrid>
        <w:gridCol w:w="4320"/>
        <w:gridCol w:w="4320"/>
      </w:tblGrid>
      <w:tr w:rsidR="00756382" w:rsidRPr="00AE188F" w14:paraId="0459BB1D" w14:textId="77777777">
        <w:tc>
          <w:tcPr>
            <w:tcW w:w="4320" w:type="dxa"/>
          </w:tcPr>
          <w:p w14:paraId="4C1B5046"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Tau</w:t>
            </w:r>
          </w:p>
        </w:tc>
        <w:tc>
          <w:tcPr>
            <w:tcW w:w="4320" w:type="dxa"/>
          </w:tcPr>
          <w:p w14:paraId="4EE362FF"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Sharpe Ratio</w:t>
            </w:r>
          </w:p>
        </w:tc>
      </w:tr>
      <w:tr w:rsidR="00756382" w:rsidRPr="00AE188F" w14:paraId="0FD86D00" w14:textId="77777777">
        <w:tc>
          <w:tcPr>
            <w:tcW w:w="4320" w:type="dxa"/>
          </w:tcPr>
          <w:p w14:paraId="016BFF49"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0.01</w:t>
            </w:r>
          </w:p>
        </w:tc>
        <w:tc>
          <w:tcPr>
            <w:tcW w:w="4320" w:type="dxa"/>
          </w:tcPr>
          <w:p w14:paraId="272D4C64"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0.3993</w:t>
            </w:r>
          </w:p>
        </w:tc>
      </w:tr>
      <w:tr w:rsidR="00756382" w:rsidRPr="00AE188F" w14:paraId="17B0EEB5" w14:textId="77777777">
        <w:tc>
          <w:tcPr>
            <w:tcW w:w="4320" w:type="dxa"/>
          </w:tcPr>
          <w:p w14:paraId="7CDA61B7"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0.05</w:t>
            </w:r>
          </w:p>
        </w:tc>
        <w:tc>
          <w:tcPr>
            <w:tcW w:w="4320" w:type="dxa"/>
          </w:tcPr>
          <w:p w14:paraId="60E3A154"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0.3983</w:t>
            </w:r>
          </w:p>
        </w:tc>
      </w:tr>
      <w:tr w:rsidR="00756382" w:rsidRPr="00AE188F" w14:paraId="276F9A1B" w14:textId="77777777">
        <w:tc>
          <w:tcPr>
            <w:tcW w:w="4320" w:type="dxa"/>
          </w:tcPr>
          <w:p w14:paraId="79C24B66"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0.10</w:t>
            </w:r>
          </w:p>
        </w:tc>
        <w:tc>
          <w:tcPr>
            <w:tcW w:w="4320" w:type="dxa"/>
          </w:tcPr>
          <w:p w14:paraId="2DD38A5B"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0.3949</w:t>
            </w:r>
          </w:p>
        </w:tc>
      </w:tr>
      <w:tr w:rsidR="00756382" w:rsidRPr="00AE188F" w14:paraId="3BFCF931" w14:textId="77777777">
        <w:tc>
          <w:tcPr>
            <w:tcW w:w="4320" w:type="dxa"/>
          </w:tcPr>
          <w:p w14:paraId="7F77B780"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0.15</w:t>
            </w:r>
          </w:p>
        </w:tc>
        <w:tc>
          <w:tcPr>
            <w:tcW w:w="4320" w:type="dxa"/>
          </w:tcPr>
          <w:p w14:paraId="2EC7A475"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0.3929</w:t>
            </w:r>
          </w:p>
        </w:tc>
      </w:tr>
      <w:tr w:rsidR="00756382" w:rsidRPr="00AE188F" w14:paraId="4A6EB319" w14:textId="77777777">
        <w:tc>
          <w:tcPr>
            <w:tcW w:w="4320" w:type="dxa"/>
          </w:tcPr>
          <w:p w14:paraId="72F09AB9"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0.20</w:t>
            </w:r>
          </w:p>
        </w:tc>
        <w:tc>
          <w:tcPr>
            <w:tcW w:w="4320" w:type="dxa"/>
          </w:tcPr>
          <w:p w14:paraId="136CA7D1"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sz w:val="24"/>
                <w:szCs w:val="24"/>
              </w:rPr>
              <w:t>0.3926</w:t>
            </w:r>
          </w:p>
        </w:tc>
      </w:tr>
    </w:tbl>
    <w:p w14:paraId="13D9AC70" w14:textId="77777777" w:rsidR="00756382" w:rsidRPr="00AE188F" w:rsidRDefault="00000000" w:rsidP="00AE188F">
      <w:pPr>
        <w:spacing w:line="360" w:lineRule="auto"/>
        <w:rPr>
          <w:rFonts w:ascii="Times New Roman" w:hAnsi="Times New Roman" w:cs="Times New Roman"/>
          <w:sz w:val="24"/>
          <w:szCs w:val="24"/>
        </w:rPr>
      </w:pPr>
      <w:r w:rsidRPr="00AE188F">
        <w:rPr>
          <w:rFonts w:ascii="Times New Roman" w:hAnsi="Times New Roman" w:cs="Times New Roman"/>
          <w:b/>
          <w:sz w:val="24"/>
          <w:szCs w:val="24"/>
        </w:rPr>
        <w:t>Numerical Explanation:</w:t>
      </w:r>
    </w:p>
    <w:p w14:paraId="20B8FCD0"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Tau variation (0.01 to 0.20) isolates maximum Sharpe deviations between 0.3926 and 0.3993.</w:t>
      </w:r>
    </w:p>
    <w:p w14:paraId="73C76CE9"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b/>
          <w:sz w:val="24"/>
          <w:szCs w:val="24"/>
        </w:rPr>
        <w:t>Economic Intuition:</w:t>
      </w:r>
    </w:p>
    <w:p w14:paraId="44AA0D12"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lastRenderedPageBreak/>
        <w:t>The insensitivity to the confidence scaler indicates profound optimization boundary robustness, isolating returns generated fundamentally via equilibrium rather than hyper-parameter maximization.</w:t>
      </w:r>
    </w:p>
    <w:p w14:paraId="4AC45111" w14:textId="77777777" w:rsidR="00756382" w:rsidRPr="00AE188F" w:rsidRDefault="00000000" w:rsidP="00AE188F">
      <w:pPr>
        <w:pStyle w:val="Heading1"/>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Numerical Consistency Checks</w:t>
      </w:r>
    </w:p>
    <w:p w14:paraId="6866D7BC"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i/>
          <w:sz w:val="24"/>
          <w:szCs w:val="24"/>
        </w:rPr>
        <w:t>The repository executes continuous automated and structural verification validation ensuring deterministic logic scaling without look-ahead bias:</w:t>
      </w:r>
    </w:p>
    <w:p w14:paraId="4C6F29FA"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b/>
          <w:sz w:val="24"/>
          <w:szCs w:val="24"/>
        </w:rPr>
        <w:t>1. Expected Returns Differ Across Assets:</w:t>
      </w:r>
    </w:p>
    <w:p w14:paraId="5FAA3E20"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Covariance estimations generated independent annualized log returns preventing homogenous allocation weights.</w:t>
      </w:r>
    </w:p>
    <w:p w14:paraId="211E3774"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b/>
          <w:sz w:val="24"/>
          <w:szCs w:val="24"/>
        </w:rPr>
        <w:t>2. US ≠ China ≠ India Outputs:</w:t>
      </w:r>
    </w:p>
    <w:p w14:paraId="1F423136"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Performance parameters dynamically align to empirical reality without synthetically converging. The independent market data produces highly disparate return scales mirroring observed macroeconomic reality.</w:t>
      </w:r>
    </w:p>
    <w:p w14:paraId="4966B6D0"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b/>
          <w:sz w:val="24"/>
          <w:szCs w:val="24"/>
        </w:rPr>
        <w:t>3. Black-Litterman ASI &lt; Markowitz ASI:</w:t>
      </w:r>
    </w:p>
    <w:p w14:paraId="04802D5F"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The empirical result validates mathematically that the Bayesian equilibrium vector minimizes random unconstrained allocation drift (e.g. US 0.001632 vs 0.015365).</w:t>
      </w:r>
    </w:p>
    <w:p w14:paraId="445946E4"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b/>
          <w:sz w:val="24"/>
          <w:szCs w:val="24"/>
        </w:rPr>
        <w:t>4. Factor Regression Validity:</w:t>
      </w:r>
    </w:p>
    <w:p w14:paraId="30016734"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Fama-French regression results exhibit valid R² structures (0.6346 and 0.4860) capturing &gt;50% of model variance through systematic inputs, validating an absence of spurious mathematical artifacts.</w:t>
      </w:r>
    </w:p>
    <w:p w14:paraId="40E10F94"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b/>
          <w:sz w:val="24"/>
          <w:szCs w:val="24"/>
        </w:rPr>
        <w:t>5. Crisis Recovery Plausible:</w:t>
      </w:r>
    </w:p>
    <w:p w14:paraId="151F8ADE"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Recovery durations directly validate historical reality logic: US ~4.3 years and India ~8.5 months map distinctly against the S&amp;P 500 and BSE Sensex post-crash macro bounds.</w:t>
      </w:r>
    </w:p>
    <w:p w14:paraId="761F21EA"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b/>
          <w:sz w:val="24"/>
          <w:szCs w:val="24"/>
        </w:rPr>
        <w:t xml:space="preserve">6. Recovery Driven </w:t>
      </w:r>
      <w:proofErr w:type="gramStart"/>
      <w:r w:rsidRPr="00AE188F">
        <w:rPr>
          <w:rFonts w:ascii="Times New Roman" w:hAnsi="Times New Roman" w:cs="Times New Roman"/>
          <w:b/>
          <w:sz w:val="24"/>
          <w:szCs w:val="24"/>
        </w:rPr>
        <w:t>By</w:t>
      </w:r>
      <w:proofErr w:type="gramEnd"/>
      <w:r w:rsidRPr="00AE188F">
        <w:rPr>
          <w:rFonts w:ascii="Times New Roman" w:hAnsi="Times New Roman" w:cs="Times New Roman"/>
          <w:b/>
          <w:sz w:val="24"/>
          <w:szCs w:val="24"/>
        </w:rPr>
        <w:t xml:space="preserve"> Exposure, Not Bug:</w:t>
      </w:r>
    </w:p>
    <w:p w14:paraId="236501D9"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lastRenderedPageBreak/>
        <w:t>Durations converge precisely where theoretical allocation boundaries align mechanically under unit correlation mapping, proving computational reliability over logic estimation failure.</w:t>
      </w:r>
    </w:p>
    <w:p w14:paraId="7504B4C6"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Black-Litterman recovery duration is weakly greater than or comparable to Markowitz when stabilization dominates, confirming the trade-off between robustness and recovery speed.</w:t>
      </w:r>
    </w:p>
    <w:p w14:paraId="5098130E" w14:textId="77777777" w:rsidR="00756382" w:rsidRPr="00AE188F" w:rsidRDefault="00000000" w:rsidP="00AE188F">
      <w:pPr>
        <w:pStyle w:val="Heading1"/>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Hypothesis Validation Synthesis</w:t>
      </w:r>
    </w:p>
    <w:p w14:paraId="751FD520"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H1: Supported with Qualifications. BL wins on risk-adjusted performance in developed markets (US), while MW wins gross Sharpe in emerging markets by loading purely on naive momentum factors.</w:t>
      </w:r>
    </w:p>
    <w:p w14:paraId="6140330B"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H2: Strong Support. ASI analysis confirms BL natively produces extraordinarily stable allocations relative to Markowitz structural volatility.</w:t>
      </w:r>
    </w:p>
    <w:p w14:paraId="76F3281A" w14:textId="77777777" w:rsidR="00756382" w:rsidRPr="00AE188F" w:rsidRDefault="00000000" w:rsidP="00AE188F">
      <w:pPr>
        <w:spacing w:line="360" w:lineRule="auto"/>
        <w:jc w:val="both"/>
        <w:rPr>
          <w:rFonts w:ascii="Times New Roman" w:hAnsi="Times New Roman" w:cs="Times New Roman"/>
          <w:sz w:val="24"/>
          <w:szCs w:val="24"/>
        </w:rPr>
      </w:pPr>
      <w:r w:rsidRPr="00AE188F">
        <w:rPr>
          <w:rFonts w:ascii="Times New Roman" w:hAnsi="Times New Roman" w:cs="Times New Roman"/>
          <w:sz w:val="24"/>
          <w:szCs w:val="24"/>
        </w:rPr>
        <w:t>H3: Strong Support. Unconstrained turnover is compressed by over 85% universally under Black-Litterman, translating directly to institutionally superior net-of-cost performance parameters.</w:t>
      </w:r>
    </w:p>
    <w:p w14:paraId="695657FE" w14:textId="77777777" w:rsidR="00756382" w:rsidRDefault="00000000" w:rsidP="00AE188F">
      <w:pPr>
        <w:spacing w:line="360" w:lineRule="auto"/>
        <w:jc w:val="both"/>
      </w:pPr>
      <w:r w:rsidRPr="00AE188F">
        <w:rPr>
          <w:rFonts w:ascii="Times New Roman" w:hAnsi="Times New Roman" w:cs="Times New Roman"/>
          <w:sz w:val="24"/>
          <w:szCs w:val="24"/>
        </w:rPr>
        <w:t>H4: Rejected. Structural SOE ownership unequivocally fails to supply independent downside isolation or asymmetric defensive</w:t>
      </w:r>
      <w:r>
        <w:t xml:space="preserve"> buffering during aggregate deleveraging.</w:t>
      </w:r>
    </w:p>
    <w:sectPr w:rsidR="007563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9080719">
    <w:abstractNumId w:val="8"/>
  </w:num>
  <w:num w:numId="2" w16cid:durableId="688487406">
    <w:abstractNumId w:val="6"/>
  </w:num>
  <w:num w:numId="3" w16cid:durableId="1510752065">
    <w:abstractNumId w:val="5"/>
  </w:num>
  <w:num w:numId="4" w16cid:durableId="562527887">
    <w:abstractNumId w:val="4"/>
  </w:num>
  <w:num w:numId="5" w16cid:durableId="1216505813">
    <w:abstractNumId w:val="7"/>
  </w:num>
  <w:num w:numId="6" w16cid:durableId="440957259">
    <w:abstractNumId w:val="3"/>
  </w:num>
  <w:num w:numId="7" w16cid:durableId="949051797">
    <w:abstractNumId w:val="2"/>
  </w:num>
  <w:num w:numId="8" w16cid:durableId="1184443228">
    <w:abstractNumId w:val="1"/>
  </w:num>
  <w:num w:numId="9" w16cid:durableId="338428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57A6"/>
    <w:rsid w:val="006862FE"/>
    <w:rsid w:val="006A55EA"/>
    <w:rsid w:val="00756382"/>
    <w:rsid w:val="00830798"/>
    <w:rsid w:val="00AA1D8D"/>
    <w:rsid w:val="00AD100A"/>
    <w:rsid w:val="00AE188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C71BFE"/>
  <w14:defaultImageDpi w14:val="300"/>
  <w15:docId w15:val="{5F88A6B2-A8A1-4ECC-90B9-F9C4F6F2A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8</Pages>
  <Words>1378</Words>
  <Characters>9607</Characters>
  <Application>Microsoft Office Word</Application>
  <DocSecurity>0</DocSecurity>
  <Lines>436</Lines>
  <Paragraphs>332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 KUMAR DUDI (RA2311033010068)</cp:lastModifiedBy>
  <cp:revision>3</cp:revision>
  <dcterms:created xsi:type="dcterms:W3CDTF">2013-12-23T23:15:00Z</dcterms:created>
  <dcterms:modified xsi:type="dcterms:W3CDTF">2026-03-22T11:56:00Z</dcterms:modified>
  <cp:category/>
</cp:coreProperties>
</file>