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Research Hypotheses</w:t>
      </w:r>
    </w:p>
    <w:p>
      <w:r>
        <w:t>H1 — Risk-adjusted performance improvement</w:t>
        <w:br/>
        <w:t>H2 — Allocation stability improvement</w:t>
        <w:br/>
        <w:t>H3 — Transaction cost robustness</w:t>
        <w:br/>
        <w:t>H4 — SOE structural stability test</w:t>
      </w:r>
    </w:p>
    <w:p>
      <w:pPr>
        <w:pStyle w:val="Heading2"/>
      </w:pPr>
      <w:r>
        <w:t>4.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 The extremely low ASI values indicate that both optimization frameworks generate relatively stable allocation vectors across rolling rebalancing windows. However, the marginally lower ASI observed for the Black–Litterman model confirms that Bayesian shrinkage slightly dampens allocation drift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Annualized Return</w:t>
            </w:r>
          </w:p>
        </w:tc>
        <w:tc>
          <w:tcPr>
            <w:tcW w:type="dxa" w:w="1080"/>
          </w:tcPr>
          <w:p>
            <w:r>
              <w:t>Annualized Volatility</w:t>
            </w:r>
          </w:p>
        </w:tc>
        <w:tc>
          <w:tcPr>
            <w:tcW w:type="dxa" w:w="1080"/>
          </w:tcPr>
          <w:p>
            <w:r>
              <w:t>Sharpe Ratio</w:t>
            </w:r>
          </w:p>
        </w:tc>
        <w:tc>
          <w:tcPr>
            <w:tcW w:type="dxa" w:w="1080"/>
          </w:tcPr>
          <w:p>
            <w:r>
              <w:t>Turnover</w:t>
            </w:r>
          </w:p>
        </w:tc>
        <w:tc>
          <w:tcPr>
            <w:tcW w:type="dxa" w:w="1080"/>
          </w:tcPr>
          <w:p>
            <w:r>
              <w:t>ASI</w:t>
            </w:r>
          </w:p>
        </w:tc>
        <w:tc>
          <w:tcPr>
            <w:tcW w:type="dxa" w:w="1080"/>
          </w:tcPr>
          <w:p>
            <w:r>
              <w:t>Max Drawdown</w:t>
            </w:r>
          </w:p>
        </w:tc>
      </w:tr>
      <w:tr>
        <w:tc>
          <w:tcPr>
            <w:tcW w:type="dxa" w:w="1080"/>
          </w:tcPr>
          <w:p>
            <w:r>
              <w:t>US</w:t>
            </w:r>
          </w:p>
        </w:tc>
        <w:tc>
          <w:tcPr>
            <w:tcW w:type="dxa" w:w="1080"/>
          </w:tcPr>
          <w:p>
            <w:r>
              <w:t>Black-Litterman</w:t>
            </w:r>
          </w:p>
        </w:tc>
        <w:tc>
          <w:tcPr>
            <w:tcW w:type="dxa" w:w="1080"/>
          </w:tcPr>
          <w:p>
            <w:r>
              <w:t>37.77%</w:t>
            </w:r>
          </w:p>
        </w:tc>
        <w:tc>
          <w:tcPr>
            <w:tcW w:type="dxa" w:w="1080"/>
          </w:tcPr>
          <w:p>
            <w:r>
              <w:t>31.27%</w:t>
            </w:r>
          </w:p>
        </w:tc>
        <w:tc>
          <w:tcPr>
            <w:tcW w:type="dxa" w:w="1080"/>
          </w:tcPr>
          <w:p>
            <w:r>
              <w:t>1.2080</w:t>
            </w:r>
          </w:p>
        </w:tc>
        <w:tc>
          <w:tcPr>
            <w:tcW w:type="dxa" w:w="1080"/>
          </w:tcPr>
          <w:p>
            <w:r>
              <w:t>72.89%</w:t>
            </w:r>
          </w:p>
        </w:tc>
        <w:tc>
          <w:tcPr>
            <w:tcW w:type="dxa" w:w="1080"/>
          </w:tcPr>
          <w:p>
            <w:r>
              <w:t>0.0002</w:t>
            </w:r>
          </w:p>
        </w:tc>
        <w:tc>
          <w:tcPr>
            <w:tcW w:type="dxa" w:w="1080"/>
          </w:tcPr>
          <w:p>
            <w:r>
              <w:t>-43.17%</w:t>
            </w:r>
          </w:p>
        </w:tc>
      </w:tr>
      <w:tr>
        <w:tc>
          <w:tcPr>
            <w:tcW w:type="dxa" w:w="1080"/>
          </w:tcPr>
          <w:p>
            <w:r>
              <w:t>US</w:t>
            </w:r>
          </w:p>
        </w:tc>
        <w:tc>
          <w:tcPr>
            <w:tcW w:type="dxa" w:w="1080"/>
          </w:tcPr>
          <w:p>
            <w:r>
              <w:t>Markowitz</w:t>
            </w:r>
          </w:p>
        </w:tc>
        <w:tc>
          <w:tcPr>
            <w:tcW w:type="dxa" w:w="1080"/>
          </w:tcPr>
          <w:p>
            <w:r>
              <w:t>38.14%</w:t>
            </w:r>
          </w:p>
        </w:tc>
        <w:tc>
          <w:tcPr>
            <w:tcW w:type="dxa" w:w="1080"/>
          </w:tcPr>
          <w:p>
            <w:r>
              <w:t>31.74%</w:t>
            </w:r>
          </w:p>
        </w:tc>
        <w:tc>
          <w:tcPr>
            <w:tcW w:type="dxa" w:w="1080"/>
          </w:tcPr>
          <w:p>
            <w:r>
              <w:t>1.2010</w:t>
            </w:r>
          </w:p>
        </w:tc>
        <w:tc>
          <w:tcPr>
            <w:tcW w:type="dxa" w:w="1080"/>
          </w:tcPr>
          <w:p>
            <w:r>
              <w:t>74.78%</w:t>
            </w:r>
          </w:p>
        </w:tc>
        <w:tc>
          <w:tcPr>
            <w:tcW w:type="dxa" w:w="1080"/>
          </w:tcPr>
          <w:p>
            <w:r>
              <w:t>0.0117</w:t>
            </w:r>
          </w:p>
        </w:tc>
        <w:tc>
          <w:tcPr>
            <w:tcW w:type="dxa" w:w="1080"/>
          </w:tcPr>
          <w:p>
            <w:r>
              <w:t>-44.21%</w:t>
            </w:r>
          </w:p>
        </w:tc>
      </w:tr>
      <w:tr>
        <w:tc>
          <w:tcPr>
            <w:tcW w:type="dxa" w:w="1080"/>
          </w:tcPr>
          <w:p>
            <w:r>
              <w:t>US</w:t>
            </w:r>
          </w:p>
        </w:tc>
        <w:tc>
          <w:tcPr>
            <w:tcW w:type="dxa" w:w="1080"/>
          </w:tcPr>
          <w:p>
            <w:r>
              <w:t>Benchmark</w:t>
            </w:r>
          </w:p>
        </w:tc>
        <w:tc>
          <w:tcPr>
            <w:tcW w:type="dxa" w:w="1080"/>
          </w:tcPr>
          <w:p>
            <w:r>
              <w:t>12.45%</w:t>
            </w:r>
          </w:p>
        </w:tc>
        <w:tc>
          <w:tcPr>
            <w:tcW w:type="dxa" w:w="1080"/>
          </w:tcPr>
          <w:p>
            <w:r>
              <w:t>17.18%</w:t>
            </w:r>
          </w:p>
        </w:tc>
        <w:tc>
          <w:tcPr>
            <w:tcW w:type="dxa" w:w="1080"/>
          </w:tcPr>
          <w:p>
            <w:r>
              <w:t>0.7250</w:t>
            </w:r>
          </w:p>
        </w:tc>
        <w:tc>
          <w:tcPr>
            <w:tcW w:type="dxa" w:w="1080"/>
          </w:tcPr>
          <w:p>
            <w:r>
              <w:t>nan</w:t>
            </w:r>
          </w:p>
        </w:tc>
        <w:tc>
          <w:tcPr>
            <w:tcW w:type="dxa" w:w="1080"/>
          </w:tcPr>
          <w:p>
            <w:r>
              <w:t>nan</w:t>
            </w:r>
          </w:p>
        </w:tc>
        <w:tc>
          <w:tcPr>
            <w:tcW w:type="dxa" w:w="1080"/>
          </w:tcPr>
          <w:p>
            <w:r>
              <w:t>-33.92%</w:t>
            </w:r>
          </w:p>
        </w:tc>
      </w:tr>
      <w:tr>
        <w:tc>
          <w:tcPr>
            <w:tcW w:type="dxa" w:w="1080"/>
          </w:tcPr>
          <w:p>
            <w:r>
              <w:t>China</w:t>
            </w:r>
          </w:p>
        </w:tc>
        <w:tc>
          <w:tcPr>
            <w:tcW w:type="dxa" w:w="1080"/>
          </w:tcPr>
          <w:p>
            <w:r>
              <w:t>Black-Litterman</w:t>
            </w:r>
          </w:p>
        </w:tc>
        <w:tc>
          <w:tcPr>
            <w:tcW w:type="dxa" w:w="1080"/>
          </w:tcPr>
          <w:p>
            <w:r>
              <w:t>19.35%</w:t>
            </w:r>
          </w:p>
        </w:tc>
        <w:tc>
          <w:tcPr>
            <w:tcW w:type="dxa" w:w="1080"/>
          </w:tcPr>
          <w:p>
            <w:r>
              <w:t>28.92%</w:t>
            </w:r>
          </w:p>
        </w:tc>
        <w:tc>
          <w:tcPr>
            <w:tcW w:type="dxa" w:w="1080"/>
          </w:tcPr>
          <w:p>
            <w:r>
              <w:t>0.6690</w:t>
            </w:r>
          </w:p>
        </w:tc>
        <w:tc>
          <w:tcPr>
            <w:tcW w:type="dxa" w:w="1080"/>
          </w:tcPr>
          <w:p>
            <w:r>
              <w:t>89.15%</w:t>
            </w:r>
          </w:p>
        </w:tc>
        <w:tc>
          <w:tcPr>
            <w:tcW w:type="dxa" w:w="1080"/>
          </w:tcPr>
          <w:p>
            <w:r>
              <w:t>0.0002</w:t>
            </w:r>
          </w:p>
        </w:tc>
        <w:tc>
          <w:tcPr>
            <w:tcW w:type="dxa" w:w="1080"/>
          </w:tcPr>
          <w:p>
            <w:r>
              <w:t>-39.55%</w:t>
            </w:r>
          </w:p>
        </w:tc>
      </w:tr>
      <w:tr>
        <w:tc>
          <w:tcPr>
            <w:tcW w:type="dxa" w:w="1080"/>
          </w:tcPr>
          <w:p>
            <w:r>
              <w:t>China</w:t>
            </w:r>
          </w:p>
        </w:tc>
        <w:tc>
          <w:tcPr>
            <w:tcW w:type="dxa" w:w="1080"/>
          </w:tcPr>
          <w:p>
            <w:r>
              <w:t>Markowitz</w:t>
            </w:r>
          </w:p>
        </w:tc>
        <w:tc>
          <w:tcPr>
            <w:tcW w:type="dxa" w:w="1080"/>
          </w:tcPr>
          <w:p>
            <w:r>
              <w:t>17.16%</w:t>
            </w:r>
          </w:p>
        </w:tc>
        <w:tc>
          <w:tcPr>
            <w:tcW w:type="dxa" w:w="1080"/>
          </w:tcPr>
          <w:p>
            <w:r>
              <w:t>30.48%</w:t>
            </w:r>
          </w:p>
        </w:tc>
        <w:tc>
          <w:tcPr>
            <w:tcW w:type="dxa" w:w="1080"/>
          </w:tcPr>
          <w:p>
            <w:r>
              <w:t>0.5630</w:t>
            </w:r>
          </w:p>
        </w:tc>
        <w:tc>
          <w:tcPr>
            <w:tcW w:type="dxa" w:w="1080"/>
          </w:tcPr>
          <w:p>
            <w:r>
              <w:t>91.00%</w:t>
            </w:r>
          </w:p>
        </w:tc>
        <w:tc>
          <w:tcPr>
            <w:tcW w:type="dxa" w:w="1080"/>
          </w:tcPr>
          <w:p>
            <w:r>
              <w:t>0.0117</w:t>
            </w:r>
          </w:p>
        </w:tc>
        <w:tc>
          <w:tcPr>
            <w:tcW w:type="dxa" w:w="1080"/>
          </w:tcPr>
          <w:p>
            <w:r>
              <w:t>-45.19%</w:t>
            </w:r>
          </w:p>
        </w:tc>
      </w:tr>
      <w:tr>
        <w:tc>
          <w:tcPr>
            <w:tcW w:type="dxa" w:w="1080"/>
          </w:tcPr>
          <w:p>
            <w:r>
              <w:t>China</w:t>
            </w:r>
          </w:p>
        </w:tc>
        <w:tc>
          <w:tcPr>
            <w:tcW w:type="dxa" w:w="1080"/>
          </w:tcPr>
          <w:p>
            <w:r>
              <w:t>Benchmark</w:t>
            </w:r>
          </w:p>
        </w:tc>
        <w:tc>
          <w:tcPr>
            <w:tcW w:type="dxa" w:w="1080"/>
          </w:tcPr>
          <w:p>
            <w:r>
              <w:t>3.63%</w:t>
            </w:r>
          </w:p>
        </w:tc>
        <w:tc>
          <w:tcPr>
            <w:tcW w:type="dxa" w:w="1080"/>
          </w:tcPr>
          <w:p>
            <w:r>
              <w:t>16.82%</w:t>
            </w:r>
          </w:p>
        </w:tc>
        <w:tc>
          <w:tcPr>
            <w:tcW w:type="dxa" w:w="1080"/>
          </w:tcPr>
          <w:p>
            <w:r>
              <w:t>0.2160</w:t>
            </w:r>
          </w:p>
        </w:tc>
        <w:tc>
          <w:tcPr>
            <w:tcW w:type="dxa" w:w="1080"/>
          </w:tcPr>
          <w:p>
            <w:r>
              <w:t>nan</w:t>
            </w:r>
          </w:p>
        </w:tc>
        <w:tc>
          <w:tcPr>
            <w:tcW w:type="dxa" w:w="1080"/>
          </w:tcPr>
          <w:p>
            <w:r>
              <w:t>nan</w:t>
            </w:r>
          </w:p>
        </w:tc>
        <w:tc>
          <w:tcPr>
            <w:tcW w:type="dxa" w:w="1080"/>
          </w:tcPr>
          <w:p>
            <w:r>
              <w:t>-27.27%</w:t>
            </w:r>
          </w:p>
        </w:tc>
      </w:tr>
      <w:tr>
        <w:tc>
          <w:tcPr>
            <w:tcW w:type="dxa" w:w="1080"/>
          </w:tcPr>
          <w:p>
            <w:r>
              <w:t>India</w:t>
            </w:r>
          </w:p>
        </w:tc>
        <w:tc>
          <w:tcPr>
            <w:tcW w:type="dxa" w:w="1080"/>
          </w:tcPr>
          <w:p>
            <w:r>
              <w:t>Black-Litterman</w:t>
            </w:r>
          </w:p>
        </w:tc>
        <w:tc>
          <w:tcPr>
            <w:tcW w:type="dxa" w:w="1080"/>
          </w:tcPr>
          <w:p>
            <w:r>
              <w:t>17.73%</w:t>
            </w:r>
          </w:p>
        </w:tc>
        <w:tc>
          <w:tcPr>
            <w:tcW w:type="dxa" w:w="1080"/>
          </w:tcPr>
          <w:p>
            <w:r>
              <w:t>16.49%</w:t>
            </w:r>
          </w:p>
        </w:tc>
        <w:tc>
          <w:tcPr>
            <w:tcW w:type="dxa" w:w="1080"/>
          </w:tcPr>
          <w:p>
            <w:r>
              <w:t>1.0750</w:t>
            </w:r>
          </w:p>
        </w:tc>
        <w:tc>
          <w:tcPr>
            <w:tcW w:type="dxa" w:w="1080"/>
          </w:tcPr>
          <w:p>
            <w:r>
              <w:t>8.85%</w:t>
            </w:r>
          </w:p>
        </w:tc>
        <w:tc>
          <w:tcPr>
            <w:tcW w:type="dxa" w:w="1080"/>
          </w:tcPr>
          <w:p>
            <w:r>
              <w:t>0.0002</w:t>
            </w:r>
          </w:p>
        </w:tc>
        <w:tc>
          <w:tcPr>
            <w:tcW w:type="dxa" w:w="1080"/>
          </w:tcPr>
          <w:p>
            <w:r>
              <w:t>-35.01%</w:t>
            </w:r>
          </w:p>
        </w:tc>
      </w:tr>
      <w:tr>
        <w:tc>
          <w:tcPr>
            <w:tcW w:type="dxa" w:w="1080"/>
          </w:tcPr>
          <w:p>
            <w:r>
              <w:t>India</w:t>
            </w:r>
          </w:p>
        </w:tc>
        <w:tc>
          <w:tcPr>
            <w:tcW w:type="dxa" w:w="1080"/>
          </w:tcPr>
          <w:p>
            <w:r>
              <w:t>Markowitz</w:t>
            </w:r>
          </w:p>
        </w:tc>
        <w:tc>
          <w:tcPr>
            <w:tcW w:type="dxa" w:w="1080"/>
          </w:tcPr>
          <w:p>
            <w:r>
              <w:t>17.62%</w:t>
            </w:r>
          </w:p>
        </w:tc>
        <w:tc>
          <w:tcPr>
            <w:tcW w:type="dxa" w:w="1080"/>
          </w:tcPr>
          <w:p>
            <w:r>
              <w:t>19.46%</w:t>
            </w:r>
          </w:p>
        </w:tc>
        <w:tc>
          <w:tcPr>
            <w:tcW w:type="dxa" w:w="1080"/>
          </w:tcPr>
          <w:p>
            <w:r>
              <w:t>0.9050</w:t>
            </w:r>
          </w:p>
        </w:tc>
        <w:tc>
          <w:tcPr>
            <w:tcW w:type="dxa" w:w="1080"/>
          </w:tcPr>
          <w:p>
            <w:r>
              <w:t>70.37%</w:t>
            </w:r>
          </w:p>
        </w:tc>
        <w:tc>
          <w:tcPr>
            <w:tcW w:type="dxa" w:w="1080"/>
          </w:tcPr>
          <w:p>
            <w:r>
              <w:t>0.0117</w:t>
            </w:r>
          </w:p>
        </w:tc>
        <w:tc>
          <w:tcPr>
            <w:tcW w:type="dxa" w:w="1080"/>
          </w:tcPr>
          <w:p>
            <w:r>
              <w:t>-40.60%</w:t>
            </w:r>
          </w:p>
        </w:tc>
      </w:tr>
      <w:tr>
        <w:tc>
          <w:tcPr>
            <w:tcW w:type="dxa" w:w="1080"/>
          </w:tcPr>
          <w:p>
            <w:r>
              <w:t>India</w:t>
            </w:r>
          </w:p>
        </w:tc>
        <w:tc>
          <w:tcPr>
            <w:tcW w:type="dxa" w:w="1080"/>
          </w:tcPr>
          <w:p>
            <w:r>
              <w:t>Benchmark</w:t>
            </w:r>
          </w:p>
        </w:tc>
        <w:tc>
          <w:tcPr>
            <w:tcW w:type="dxa" w:w="1080"/>
          </w:tcPr>
          <w:p>
            <w:r>
              <w:t>11.31%</w:t>
            </w:r>
          </w:p>
        </w:tc>
        <w:tc>
          <w:tcPr>
            <w:tcW w:type="dxa" w:w="1080"/>
          </w:tcPr>
          <w:p>
            <w:r>
              <w:t>16.75%</w:t>
            </w:r>
          </w:p>
        </w:tc>
        <w:tc>
          <w:tcPr>
            <w:tcW w:type="dxa" w:w="1080"/>
          </w:tcPr>
          <w:p>
            <w:r>
              <w:t>0.6750</w:t>
            </w:r>
          </w:p>
        </w:tc>
        <w:tc>
          <w:tcPr>
            <w:tcW w:type="dxa" w:w="1080"/>
          </w:tcPr>
          <w:p>
            <w:r>
              <w:t>nan</w:t>
            </w:r>
          </w:p>
        </w:tc>
        <w:tc>
          <w:tcPr>
            <w:tcW w:type="dxa" w:w="1080"/>
          </w:tcPr>
          <w:p>
            <w:r>
              <w:t>nan</w:t>
            </w:r>
          </w:p>
        </w:tc>
        <w:tc>
          <w:tcPr>
            <w:tcW w:type="dxa" w:w="1080"/>
          </w:tcPr>
          <w:p>
            <w:r>
              <w:t>-38.07%</w:t>
            </w:r>
          </w:p>
        </w:tc>
      </w:tr>
    </w:tbl>
    <w:p>
      <w:r>
        <w:t>The Allocation Stability Index (ASI) measures the magnitude of portfolio weight drift across consecutive rebalancing periods. ASI = average L1 norm distance between weight vectors. Lower ASI indicates a more stable portfolio, while higher ASI denotes unstable allocations. Black–Litterman typically reduces ASI because Bayesian shrinkage stabilizes expected return estimates.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 The substantially lower turnover observed in the Black–Litterman configuration reflects the equilibrium anchoring effect of Bayesian shrinkage, which suppresses extreme allocation shifts commonly produced by unconstrained mean–variance optimization.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 A notable observation is empirical testing during the 2020 India Covid dislocation where the Black-Litterman array registered a volatility spike of 0.91x compared to the Markowitz model's 1.17x. A volatility spike below unity indicates that the variance observed during the crisis period was lower than the historical estimation window. This outcome can occur in emerging markets when the training window already includes periods of elevated volatility.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Crisis</w:t>
            </w:r>
          </w:p>
        </w:tc>
        <w:tc>
          <w:tcPr>
            <w:tcW w:type="dxa" w:w="1440"/>
          </w:tcPr>
          <w:p>
            <w:r>
              <w:t>Market</w:t>
            </w:r>
          </w:p>
        </w:tc>
        <w:tc>
          <w:tcPr>
            <w:tcW w:type="dxa" w:w="1440"/>
          </w:tcPr>
          <w:p>
            <w:r>
              <w:t>Model</w:t>
            </w:r>
          </w:p>
        </w:tc>
        <w:tc>
          <w:tcPr>
            <w:tcW w:type="dxa" w:w="1440"/>
          </w:tcPr>
          <w:p>
            <w:r>
              <w:t>Max Drawdown</w:t>
            </w:r>
          </w:p>
        </w:tc>
        <w:tc>
          <w:tcPr>
            <w:tcW w:type="dxa" w:w="1440"/>
          </w:tcPr>
          <w:p>
            <w:r>
              <w:t>Volatility Spike</w:t>
            </w:r>
          </w:p>
        </w:tc>
        <w:tc>
          <w:tcPr>
            <w:tcW w:type="dxa" w:w="1440"/>
          </w:tcPr>
          <w:p>
            <w:r>
              <w:t>Recovery Time</w:t>
            </w:r>
          </w:p>
        </w:tc>
      </w:tr>
      <w:tr>
        <w:tc>
          <w:tcPr>
            <w:tcW w:type="dxa" w:w="1440"/>
          </w:tcPr>
          <w:p>
            <w:r>
              <w:t>2008_US_GFC</w:t>
            </w:r>
          </w:p>
        </w:tc>
        <w:tc>
          <w:tcPr>
            <w:tcW w:type="dxa" w:w="1440"/>
          </w:tcPr>
          <w:p>
            <w:r>
              <w:t>United States</w:t>
            </w:r>
          </w:p>
        </w:tc>
        <w:tc>
          <w:tcPr>
            <w:tcW w:type="dxa" w:w="1440"/>
          </w:tcPr>
          <w:p>
            <w:r>
              <w:t>Black-Litterman</w:t>
            </w:r>
          </w:p>
        </w:tc>
        <w:tc>
          <w:tcPr>
            <w:tcW w:type="dxa" w:w="1440"/>
          </w:tcPr>
          <w:p>
            <w:r>
              <w:t>-62.66%</w:t>
            </w:r>
          </w:p>
        </w:tc>
        <w:tc>
          <w:tcPr>
            <w:tcW w:type="dxa" w:w="1440"/>
          </w:tcPr>
          <w:p>
            <w:r>
              <w:t>1.82x</w:t>
            </w:r>
          </w:p>
        </w:tc>
        <w:tc>
          <w:tcPr>
            <w:tcW w:type="dxa" w:w="1440"/>
          </w:tcPr>
          <w:p>
            <w:r>
              <w:t>495 days</w:t>
            </w:r>
          </w:p>
        </w:tc>
      </w:tr>
      <w:tr>
        <w:tc>
          <w:tcPr>
            <w:tcW w:type="dxa" w:w="1440"/>
          </w:tcPr>
          <w:p>
            <w:r>
              <w:t>2008_US_GFC</w:t>
            </w:r>
          </w:p>
        </w:tc>
        <w:tc>
          <w:tcPr>
            <w:tcW w:type="dxa" w:w="1440"/>
          </w:tcPr>
          <w:p>
            <w:r>
              <w:t>United States</w:t>
            </w:r>
          </w:p>
        </w:tc>
        <w:tc>
          <w:tcPr>
            <w:tcW w:type="dxa" w:w="1440"/>
          </w:tcPr>
          <w:p>
            <w:r>
              <w:t>Markowitz</w:t>
            </w:r>
          </w:p>
        </w:tc>
        <w:tc>
          <w:tcPr>
            <w:tcW w:type="dxa" w:w="1440"/>
          </w:tcPr>
          <w:p>
            <w:r>
              <w:t>-62.77%</w:t>
            </w:r>
          </w:p>
        </w:tc>
        <w:tc>
          <w:tcPr>
            <w:tcW w:type="dxa" w:w="1440"/>
          </w:tcPr>
          <w:p>
            <w:r>
              <w:t>1.82x</w:t>
            </w:r>
          </w:p>
        </w:tc>
        <w:tc>
          <w:tcPr>
            <w:tcW w:type="dxa" w:w="1440"/>
          </w:tcPr>
          <w:p>
            <w:r>
              <w:t>495 days</w:t>
            </w:r>
          </w:p>
        </w:tc>
      </w:tr>
      <w:tr>
        <w:tc>
          <w:tcPr>
            <w:tcW w:type="dxa" w:w="1440"/>
          </w:tcPr>
          <w:p>
            <w:r>
              <w:t>2015_China_Crash</w:t>
            </w:r>
          </w:p>
        </w:tc>
        <w:tc>
          <w:tcPr>
            <w:tcW w:type="dxa" w:w="1440"/>
          </w:tcPr>
          <w:p>
            <w:r>
              <w:t>China</w:t>
            </w:r>
          </w:p>
        </w:tc>
        <w:tc>
          <w:tcPr>
            <w:tcW w:type="dxa" w:w="1440"/>
          </w:tcPr>
          <w:p>
            <w:r>
              <w:t>Black-Litterman</w:t>
            </w:r>
          </w:p>
        </w:tc>
        <w:tc>
          <w:tcPr>
            <w:tcW w:type="dxa" w:w="1440"/>
          </w:tcPr>
          <w:p>
            <w:r>
              <w:t>-26.00%</w:t>
            </w:r>
          </w:p>
        </w:tc>
        <w:tc>
          <w:tcPr>
            <w:tcW w:type="dxa" w:w="1440"/>
          </w:tcPr>
          <w:p>
            <w:r>
              <w:t>1.63x</w:t>
            </w:r>
          </w:p>
        </w:tc>
        <w:tc>
          <w:tcPr>
            <w:tcW w:type="dxa" w:w="1440"/>
          </w:tcPr>
          <w:p>
            <w:r>
              <w:t>250 days</w:t>
            </w:r>
          </w:p>
        </w:tc>
      </w:tr>
      <w:tr>
        <w:tc>
          <w:tcPr>
            <w:tcW w:type="dxa" w:w="1440"/>
          </w:tcPr>
          <w:p>
            <w:r>
              <w:t>2015_China_Crash</w:t>
            </w:r>
          </w:p>
        </w:tc>
        <w:tc>
          <w:tcPr>
            <w:tcW w:type="dxa" w:w="1440"/>
          </w:tcPr>
          <w:p>
            <w:r>
              <w:t>China</w:t>
            </w:r>
          </w:p>
        </w:tc>
        <w:tc>
          <w:tcPr>
            <w:tcW w:type="dxa" w:w="1440"/>
          </w:tcPr>
          <w:p>
            <w:r>
              <w:t>Markowitz</w:t>
            </w:r>
          </w:p>
        </w:tc>
        <w:tc>
          <w:tcPr>
            <w:tcW w:type="dxa" w:w="1440"/>
          </w:tcPr>
          <w:p>
            <w:r>
              <w:t>-25.38%</w:t>
            </w:r>
          </w:p>
        </w:tc>
        <w:tc>
          <w:tcPr>
            <w:tcW w:type="dxa" w:w="1440"/>
          </w:tcPr>
          <w:p>
            <w:r>
              <w:t>1.63x</w:t>
            </w:r>
          </w:p>
        </w:tc>
        <w:tc>
          <w:tcPr>
            <w:tcW w:type="dxa" w:w="1440"/>
          </w:tcPr>
          <w:p>
            <w:r>
              <w:t>127 days</w:t>
            </w:r>
          </w:p>
        </w:tc>
      </w:tr>
      <w:tr>
        <w:tc>
          <w:tcPr>
            <w:tcW w:type="dxa" w:w="1440"/>
          </w:tcPr>
          <w:p>
            <w:r>
              <w:t>2020_India_Covid</w:t>
            </w:r>
          </w:p>
        </w:tc>
        <w:tc>
          <w:tcPr>
            <w:tcW w:type="dxa" w:w="1440"/>
          </w:tcPr>
          <w:p>
            <w:r>
              <w:t>India</w:t>
            </w:r>
          </w:p>
        </w:tc>
        <w:tc>
          <w:tcPr>
            <w:tcW w:type="dxa" w:w="1440"/>
          </w:tcPr>
          <w:p>
            <w:r>
              <w:t>Black-Litterman</w:t>
            </w:r>
          </w:p>
        </w:tc>
        <w:tc>
          <w:tcPr>
            <w:tcW w:type="dxa" w:w="1440"/>
          </w:tcPr>
          <w:p>
            <w:r>
              <w:t>-49.85%</w:t>
            </w:r>
          </w:p>
        </w:tc>
        <w:tc>
          <w:tcPr>
            <w:tcW w:type="dxa" w:w="1440"/>
          </w:tcPr>
          <w:p>
            <w:r>
              <w:t>0.91x</w:t>
            </w:r>
          </w:p>
        </w:tc>
        <w:tc>
          <w:tcPr>
            <w:tcW w:type="dxa" w:w="1440"/>
          </w:tcPr>
          <w:p>
            <w:r>
              <w:t>378 days</w:t>
            </w:r>
          </w:p>
        </w:tc>
      </w:tr>
      <w:tr>
        <w:tc>
          <w:tcPr>
            <w:tcW w:type="dxa" w:w="1440"/>
          </w:tcPr>
          <w:p>
            <w:r>
              <w:t>2020_India_Covid</w:t>
            </w:r>
          </w:p>
        </w:tc>
        <w:tc>
          <w:tcPr>
            <w:tcW w:type="dxa" w:w="1440"/>
          </w:tcPr>
          <w:p>
            <w:r>
              <w:t>India</w:t>
            </w:r>
          </w:p>
        </w:tc>
        <w:tc>
          <w:tcPr>
            <w:tcW w:type="dxa" w:w="1440"/>
          </w:tcPr>
          <w:p>
            <w:r>
              <w:t>Markowitz</w:t>
            </w:r>
          </w:p>
        </w:tc>
        <w:tc>
          <w:tcPr>
            <w:tcW w:type="dxa" w:w="1440"/>
          </w:tcPr>
          <w:p>
            <w:r>
              <w:t>-49.33%</w:t>
            </w:r>
          </w:p>
        </w:tc>
        <w:tc>
          <w:tcPr>
            <w:tcW w:type="dxa" w:w="1440"/>
          </w:tcPr>
          <w:p>
            <w:r>
              <w:t>1.17x</w:t>
            </w:r>
          </w:p>
        </w:tc>
        <w:tc>
          <w:tcPr>
            <w:tcW w:type="dxa" w:w="1440"/>
          </w:tcPr>
          <w:p>
            <w:r>
              <w:t>378 days</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-0.563728652897281</w:t>
            </w:r>
          </w:p>
        </w:tc>
        <w:tc>
          <w:tcPr>
            <w:tcW w:type="dxa" w:w="2880"/>
          </w:tcPr>
          <w:p>
            <w:r>
              <w:t>0.5729549496978085</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 Empirical testing indicates that neither portfolio's performance is driven significantly by pure alpha (alpha = -0.00016 for Black-Litterman and -0.00005 for Markowitz). Instead, portfolio returns are dominated by systematic factor exposure, predominantly market beta, confirming that the out-of-performance profile scales with efficient systemic loading.</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-1.2129</w:t>
            </w:r>
          </w:p>
        </w:tc>
        <w:tc>
          <w:tcPr>
            <w:tcW w:type="dxa" w:w="960"/>
          </w:tcPr>
          <w:p>
            <w:r>
              <w:t>0.6346</w:t>
            </w:r>
          </w:p>
        </w:tc>
        <w:tc>
          <w:tcPr>
            <w:tcW w:type="dxa" w:w="960"/>
          </w:tcPr>
          <w:p>
            <w:r>
              <w:t>0.8212</w:t>
            </w:r>
          </w:p>
        </w:tc>
        <w:tc>
          <w:tcPr>
            <w:tcW w:type="dxa" w:w="960"/>
          </w:tcPr>
          <w:p>
            <w:r>
              <w:t>-0.0773</w:t>
            </w:r>
          </w:p>
        </w:tc>
        <w:tc>
          <w:tcPr>
            <w:tcW w:type="dxa" w:w="960"/>
          </w:tcPr>
          <w:p>
            <w:r>
              <w:t>0.0563</w:t>
            </w:r>
          </w:p>
        </w:tc>
        <w:tc>
          <w:tcPr>
            <w:tcW w:type="dxa" w:w="960"/>
          </w:tcPr>
          <w:p>
            <w:r>
              <w:t>0.0046</w:t>
            </w:r>
          </w:p>
        </w:tc>
        <w:tc>
          <w:tcPr>
            <w:tcW w:type="dxa" w:w="960"/>
          </w:tcPr>
          <w:p>
            <w:r>
              <w:t>0.2253</w:t>
            </w:r>
          </w:p>
        </w:tc>
      </w:tr>
      <w:tr>
        <w:tc>
          <w:tcPr>
            <w:tcW w:type="dxa" w:w="960"/>
          </w:tcPr>
          <w:p>
            <w:r>
              <w:t>Markowitz</w:t>
            </w:r>
          </w:p>
        </w:tc>
        <w:tc>
          <w:tcPr>
            <w:tcW w:type="dxa" w:w="960"/>
          </w:tcPr>
          <w:p>
            <w:r>
              <w:t>-0.0003</w:t>
            </w:r>
          </w:p>
        </w:tc>
        <w:tc>
          <w:tcPr>
            <w:tcW w:type="dxa" w:w="960"/>
          </w:tcPr>
          <w:p>
            <w:r>
              <w:t>-1.4184</w:t>
            </w:r>
          </w:p>
        </w:tc>
        <w:tc>
          <w:tcPr>
            <w:tcW w:type="dxa" w:w="960"/>
          </w:tcPr>
          <w:p>
            <w:r>
              <w:t>0.4860</w:t>
            </w:r>
          </w:p>
        </w:tc>
        <w:tc>
          <w:tcPr>
            <w:tcW w:type="dxa" w:w="960"/>
          </w:tcPr>
          <w:p>
            <w:r>
              <w:t>0.9040</w:t>
            </w:r>
          </w:p>
        </w:tc>
        <w:tc>
          <w:tcPr>
            <w:tcW w:type="dxa" w:w="960"/>
          </w:tcPr>
          <w:p>
            <w:r>
              <w:t>-0.1138</w:t>
            </w:r>
          </w:p>
        </w:tc>
        <w:tc>
          <w:tcPr>
            <w:tcW w:type="dxa" w:w="960"/>
          </w:tcPr>
          <w:p>
            <w:r>
              <w:t>0.0614</w:t>
            </w:r>
          </w:p>
        </w:tc>
        <w:tc>
          <w:tcPr>
            <w:tcW w:type="dxa" w:w="960"/>
          </w:tcPr>
          <w:p>
            <w:r>
              <w:t>0.0638</w:t>
            </w:r>
          </w:p>
        </w:tc>
        <w:tc>
          <w:tcPr>
            <w:tcW w:type="dxa" w:w="960"/>
          </w:tcPr>
          <w:p>
            <w:r>
              <w:t>0.1562</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 Black-Litterman allocations may perform better during high-uncertainty regimes due to Bayesian shrinkage anchoring estimates when historical variance explodes unpredictably.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1.4665</w:t>
            </w:r>
          </w:p>
        </w:tc>
        <w:tc>
          <w:tcPr>
            <w:tcW w:type="dxa" w:w="1728"/>
          </w:tcPr>
          <w:p>
            <w:r>
              <w:t>1.4922</w:t>
            </w:r>
          </w:p>
        </w:tc>
        <w:tc>
          <w:tcPr>
            <w:tcW w:type="dxa" w:w="1728"/>
          </w:tcPr>
          <w:p>
            <w:r>
              <w:t>0.1665</w:t>
            </w:r>
          </w:p>
        </w:tc>
        <w:tc>
          <w:tcPr>
            <w:tcW w:type="dxa" w:w="1728"/>
          </w:tcPr>
          <w:p>
            <w:r>
              <w:t>0.2064</w:t>
            </w:r>
          </w:p>
        </w:tc>
      </w:tr>
      <w:tr>
        <w:tc>
          <w:tcPr>
            <w:tcW w:type="dxa" w:w="1728"/>
          </w:tcPr>
          <w:p>
            <w:r>
              <w:t>High_Vol</w:t>
            </w:r>
          </w:p>
        </w:tc>
        <w:tc>
          <w:tcPr>
            <w:tcW w:type="dxa" w:w="1728"/>
          </w:tcPr>
          <w:p>
            <w:r>
              <w:t>-0.6439</w:t>
            </w:r>
          </w:p>
        </w:tc>
        <w:tc>
          <w:tcPr>
            <w:tcW w:type="dxa" w:w="1728"/>
          </w:tcPr>
          <w:p>
            <w:r>
              <w:t>-1.0077</w:t>
            </w:r>
          </w:p>
        </w:tc>
        <w:tc>
          <w:tcPr>
            <w:tcW w:type="dxa" w:w="1728"/>
          </w:tcPr>
          <w:p>
            <w:r>
              <w:t>-0.2007</w:t>
            </w:r>
          </w:p>
        </w:tc>
        <w:tc>
          <w:tcPr>
            <w:tcW w:type="dxa" w:w="1728"/>
          </w:tcPr>
          <w:p>
            <w:r>
              <w:t>-0.3938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 Additionally, ETF proxy limitations suffer from dividend reinvestment friction differences, transaction cost simplifications (0.10%) do not accurately map the variable illiquidity gaps observed during outright crisis regimes, and structural inferences are inherently restricted by market microstructure differences and sample selection constraints.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