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DD225" w14:textId="77777777" w:rsidR="00C60B5D" w:rsidRDefault="00C60B5D"/>
    <w:p w14:paraId="6B93B69F" w14:textId="77777777" w:rsidR="00C60B5D" w:rsidRDefault="00000000">
      <w:pPr>
        <w:jc w:val="center"/>
      </w:pPr>
      <w:r>
        <w:rPr>
          <w:b/>
        </w:rPr>
        <w:t>Empirical Evaluation of Black-Litterman Portfolio Optimization:</w:t>
      </w:r>
      <w:r>
        <w:rPr>
          <w:b/>
        </w:rPr>
        <w:br/>
        <w:t>Structural Stability Across US Developed and China Emerging Equity Markets</w:t>
      </w:r>
    </w:p>
    <w:p w14:paraId="1CD1E228" w14:textId="77777777" w:rsidR="00C60B5D" w:rsidRDefault="00C60B5D"/>
    <w:p w14:paraId="3ADDDDB1" w14:textId="77777777" w:rsidR="00C60B5D" w:rsidRDefault="00000000">
      <w:pPr>
        <w:jc w:val="center"/>
      </w:pPr>
      <w:r>
        <w:t>Department of Quantitative Finance</w:t>
      </w:r>
    </w:p>
    <w:p w14:paraId="6C8E9BE0" w14:textId="77777777" w:rsidR="00C60B5D" w:rsidRDefault="00000000">
      <w:r>
        <w:br w:type="page"/>
      </w:r>
    </w:p>
    <w:p w14:paraId="35FED2A4" w14:textId="77777777" w:rsidR="00C60B5D" w:rsidRDefault="00000000" w:rsidP="00E02D18">
      <w:pPr>
        <w:pStyle w:val="Heading1"/>
        <w:spacing w:line="360" w:lineRule="auto"/>
      </w:pPr>
      <w:r>
        <w:lastRenderedPageBreak/>
        <w:t>Abstract</w:t>
      </w:r>
    </w:p>
    <w:p w14:paraId="0BE3B792" w14:textId="77777777" w:rsidR="00C60B5D" w:rsidRDefault="00000000" w:rsidP="00E02D18">
      <w:pPr>
        <w:spacing w:line="360" w:lineRule="auto"/>
        <w:jc w:val="both"/>
      </w:pPr>
      <w:r>
        <w:t>Purpose: Classical Markowitz Mean-Variance optimization suffers fundamentally from input sensitivity, frequently yielding erratic, highly concentrated allocations unsupported by broad economic realities. The Black-Litterman (BL) model conceptually resolves this by anchoring target weights to a macro-equilibrium baseline before integrating subjective alpha views. This manuscript provides a rigorous empirical evaluation of the structural stability of the BL model across out-of-sample temporal horizons, specifically comparing the lower-volatility US developed market against the high-beta Chinese emerging ecosystem. Design/Methodology: A Python-based backtesting infrastructure ingested 20-year deep historical covariance arrays (2005-2025). The architecture specifically isolated pre-2005 blue-chip assets to prevent naive data truncation. The optimization sequences were bounded via L2-regularized Sequential Least Squares Programming (SLSQP), with true Out-of-Sample metrics evaluated exclusively after processing explicit trading frictions (turnover penalties). Static structural stress-testing windows (the 2008 Lehman collapse and 2015 China stock bubble) were integrated to calculate exact Maximum Drawdown (MDD) attenuation. Findings: The empirical results demonstrate that while the Markowitz network collapses during severe macroeconomic regime shifts, delivering maximal variance, the BL posterior allocation reliably anchors allocations. Incorporating the uncertainty scaling factor mathematically bound maximal drawdowns while maintaining an Information Ratio consistently superior to standard capitalization-weighted benchmarks. Originality: By deploying an asynchronous dual-market testing apparatus natively engineered against transaction cost decay, this evaluation bridges the critical gap between abstract Bayesian estimation vectors and the frictional realities of active institutional trading floors.</w:t>
      </w:r>
    </w:p>
    <w:p w14:paraId="3A061549" w14:textId="77777777" w:rsidR="00C60B5D" w:rsidRDefault="00000000" w:rsidP="00E02D18">
      <w:pPr>
        <w:spacing w:line="360" w:lineRule="auto"/>
        <w:jc w:val="both"/>
      </w:pPr>
      <w:r>
        <w:rPr>
          <w:i/>
        </w:rPr>
        <w:t>Keywords:</w:t>
      </w:r>
      <w:r>
        <w:t xml:space="preserve"> Black-Litterman Model, Mean-Variance Optimization, Bayesian Allocation, Emerging Markets, Quantitative Backtesting, Estimation Risk.</w:t>
      </w:r>
    </w:p>
    <w:p w14:paraId="5A00512B" w14:textId="5936D635" w:rsidR="00E02D18" w:rsidRDefault="00000000" w:rsidP="00E02D18">
      <w:pPr>
        <w:spacing w:line="360" w:lineRule="auto"/>
        <w:jc w:val="both"/>
      </w:pPr>
      <w:r>
        <w:br w:type="page"/>
      </w:r>
    </w:p>
    <w:p w14:paraId="30B50919" w14:textId="77777777" w:rsidR="00C60B5D" w:rsidRDefault="00000000" w:rsidP="00E02D18">
      <w:pPr>
        <w:pStyle w:val="Heading1"/>
        <w:spacing w:line="360" w:lineRule="auto"/>
      </w:pPr>
      <w:r>
        <w:lastRenderedPageBreak/>
        <w:t>Introduction</w:t>
      </w:r>
    </w:p>
    <w:p w14:paraId="2C2AC8CB" w14:textId="77777777" w:rsidR="00C60B5D" w:rsidRDefault="00000000" w:rsidP="00E02D18">
      <w:pPr>
        <w:spacing w:line="360" w:lineRule="auto"/>
        <w:jc w:val="both"/>
      </w:pPr>
      <w:r>
        <w:t>Markowitz Mean-Variance optimization represents the foundational bedrock of modern portfolio theory, mathematically linking statistical variance to risk-adjusted compensation. Practical deployment of the classical objective function, however, remains intensely problematic on active trading floors. The fundamental limitation lies in the extreme convexity of the unconstrained optimization landscape relative to the input vectors. Generating localized expectations for future asset returns inherently introduces estimation errors. The Markowitz algorithm mechanically identifies these minute deviations and maximizes them, driving capital aggressively into assets featuring historically exceptional (and statistically anomalous) Sharpe derivations. The resulting portfolios suffer from catastrophic concentration risks, behaving less like diversified hedges and more like leveraged directional bets highly fragile to mean reversion.</w:t>
      </w:r>
    </w:p>
    <w:p w14:paraId="0065DCE1" w14:textId="77777777" w:rsidR="00C60B5D" w:rsidRDefault="00000000" w:rsidP="00E02D18">
      <w:pPr>
        <w:spacing w:line="360" w:lineRule="auto"/>
        <w:jc w:val="both"/>
      </w:pPr>
      <w:r>
        <w:t>Bridging this theoretical fragility requires shifting the focal point away from absolute historical sample means toward a robust macro-economic priors. The Black-Litterman model achieves this by establishing the Capital Asset Pricing Model (CAPM) implied equilibrium as a neutral Bayesian baseline. Through this paradigm, the optimization engine assumes the aggregate market holds the optimal capitalization distribution until sufficient subjective alpha is provided to warrant a deviation. This approach essentially inverts the classical problem: rather than deriving weights entirely from highly uncertain expected returns, BL derives baseline expected returns from highly observable, highly certain market weights, mathematically limiting the blast radius of any single erroneous analytical view.</w:t>
      </w:r>
    </w:p>
    <w:p w14:paraId="5ED76201" w14:textId="77777777" w:rsidR="00C60B5D" w:rsidRDefault="00000000" w:rsidP="00E02D18">
      <w:pPr>
        <w:spacing w:line="360" w:lineRule="auto"/>
        <w:jc w:val="both"/>
      </w:pPr>
      <w:r>
        <w:t xml:space="preserve">Evaluating the BL mathematical architecture exclusively via frictionless simulations built on liquid, highly rationalized Western equity markets provides an incomplete institutional picture. True stress-testing demands a confrontation with extreme market mechanics. We introduce a dual-axis evaluative framework comparing the S&amp;P 500 equivalent US macro structure against the retail-dominated, highly volatile Chinese emerging ecosystem via the Shanghai Composite proxies. Simultaneously, theoretical performance boundaries are degraded using strict proportional transaction friction calculations. Evaluating continuous sequential geometric compounding across 20-year multi-index arrays allows for the </w:t>
      </w:r>
      <w:r>
        <w:lastRenderedPageBreak/>
        <w:t>distinct isolation of the BL model's stabilizing capacity during severe macroeconomic uncoupling.</w:t>
      </w:r>
    </w:p>
    <w:p w14:paraId="07D79809" w14:textId="77777777" w:rsidR="00C60B5D" w:rsidRDefault="00000000" w:rsidP="00E02D18">
      <w:pPr>
        <w:pStyle w:val="Heading1"/>
        <w:spacing w:line="360" w:lineRule="auto"/>
      </w:pPr>
      <w:r>
        <w:t>Literature Review and Theoretical Framework</w:t>
      </w:r>
    </w:p>
    <w:p w14:paraId="74F040B2" w14:textId="77777777" w:rsidR="00C60B5D" w:rsidRDefault="00000000" w:rsidP="00E02D18">
      <w:pPr>
        <w:spacing w:line="360" w:lineRule="auto"/>
        <w:jc w:val="both"/>
      </w:pPr>
      <w:r>
        <w:t>The vulnerability of the standard unconstrained Markowitz topology has driven decades of quantitative literature exploring shrinkage estimators and robust Bayesian techniques. Traditional covariance shrinkage attempts to interpolate sample covariance matrices with highly structured target matrices, mitigating the eigenvalues corresponding to spurious correlations. Yet resolving covariance instability solves only a fragment of the estimation error dilemma; researchers have repeatedly proven that mean vector estimation carries exponentially heavier consequences for allocation divergence than noise located within the broader covariance distribution.</w:t>
      </w:r>
    </w:p>
    <w:p w14:paraId="3FEEEC0B" w14:textId="77777777" w:rsidR="00C60B5D" w:rsidRDefault="00000000" w:rsidP="00E02D18">
      <w:pPr>
        <w:spacing w:line="360" w:lineRule="auto"/>
        <w:jc w:val="both"/>
      </w:pPr>
      <w:r>
        <w:t>In response, Black and Litterman articulated their canonical Bayesian architecture designed to blend two distinct streams of information: the implicit expectations embedded within current market capitalizations and the subjective active views sourced dynamically from absolute fundamental or quantitative analysis. By constructing the distribution of expected returns as a posterior distribution derived from the combination of an objective prior and subjective signals, the methodology heavily penalizes idiosyncratic deviations unless they are attached to overwhelming certainty scalars. The resulting output matrix ensures contiguous asset transitions, rendering structural turnover significantly cheaper than the aggressive momentum clustering frequently observed when testing raw historical sample means dynamically.</w:t>
      </w:r>
    </w:p>
    <w:p w14:paraId="4BE233BE" w14:textId="77777777" w:rsidR="00C60B5D" w:rsidRDefault="00000000" w:rsidP="00E02D18">
      <w:pPr>
        <w:pStyle w:val="Heading1"/>
        <w:spacing w:line="360" w:lineRule="auto"/>
      </w:pPr>
      <w:r>
        <w:t>Methodology</w:t>
      </w:r>
    </w:p>
    <w:p w14:paraId="3FE7E062" w14:textId="77777777" w:rsidR="00C60B5D" w:rsidRDefault="00000000" w:rsidP="00E02D18">
      <w:pPr>
        <w:pStyle w:val="Heading2"/>
        <w:spacing w:line="360" w:lineRule="auto"/>
      </w:pPr>
      <w:r>
        <w:t>Reverse Optimization and Implied Returns</w:t>
      </w:r>
    </w:p>
    <w:p w14:paraId="3D97D9B5" w14:textId="77777777" w:rsidR="00C60B5D" w:rsidRDefault="00000000" w:rsidP="00E02D18">
      <w:pPr>
        <w:spacing w:line="360" w:lineRule="auto"/>
        <w:jc w:val="both"/>
      </w:pPr>
      <w:r>
        <w:t xml:space="preserve">Initiating the Bayesian sequence mandates establishing the neutral starting point. Reverse optimization computationally derives the vector of equilibrium implied excess returns, denoted formally as Π. Utilizing the risk aversion coefficient λ, the N x N covariance matrix Σ, and the observable market capitalization vector 𝑤_mkt, the objective extracts </w:t>
      </w:r>
      <w:r>
        <w:lastRenderedPageBreak/>
        <w:t>the exact return vector necessary to convince an unconstrained Mean-Variance optimizer to output the exact current market capitalization.</w:t>
      </w:r>
    </w:p>
    <w:p w14:paraId="0587C0E3" w14:textId="77777777" w:rsidR="00C60B5D" w:rsidRDefault="00000000" w:rsidP="00E02D18">
      <w:pPr>
        <w:spacing w:line="360" w:lineRule="auto"/>
        <w:jc w:val="both"/>
      </w:pPr>
      <w:r>
        <w:t>The specific calculation resolves structurally as Π = λΣ𝑤_mkt. Calculating λ assumes scaling the aggregate market risk premium against internal market variance. Operating precisely within this reverse-engineered space guarantees that absent any further intervention, the model defaults safely to a diversified proxy of the passive global index.</w:t>
      </w:r>
    </w:p>
    <w:p w14:paraId="43FF668F" w14:textId="77777777" w:rsidR="00C60B5D" w:rsidRDefault="00000000" w:rsidP="00E02D18">
      <w:pPr>
        <w:pStyle w:val="Heading2"/>
        <w:spacing w:line="360" w:lineRule="auto"/>
      </w:pPr>
      <w:r>
        <w:t>The Posterior Distribution Formula</w:t>
      </w:r>
    </w:p>
    <w:p w14:paraId="380E483A" w14:textId="77777777" w:rsidR="00C60B5D" w:rsidRDefault="00000000" w:rsidP="00E02D18">
      <w:pPr>
        <w:spacing w:line="360" w:lineRule="auto"/>
        <w:jc w:val="both"/>
      </w:pPr>
      <w:r>
        <w:t>Translating independent subjective signals requires formal projection mapping. The combined expected return vector E[R] integrates the prior distribution (Π) seamlessly with subjective expected returns vector Q through the projection matrix P, which logically binds the N assets to K distinct convictions. The matrix algebra synthesizes the posterior vector via the core Black-Litterman computation.</w:t>
      </w:r>
    </w:p>
    <w:p w14:paraId="16F5AF77" w14:textId="77777777" w:rsidR="00C60B5D" w:rsidRDefault="00000000" w:rsidP="00E02D18">
      <w:pPr>
        <w:spacing w:line="360" w:lineRule="auto"/>
        <w:ind w:firstLine="720"/>
        <w:jc w:val="both"/>
      </w:pPr>
      <w:r>
        <w:t>The derived expectation solves as E[R] = [(τΣ)^(-1) + PᵀΩ^(-1)P]^(-1) [(τΣ)^(-1)Π + PᵀΩ^(-1)Q]. The parameter τ operates exclusively as the uncertainty scaling mechanism acting upon the prior baseline, dictating the mathematical variance of the true market equilibrium around its historical sample mean. Correspondingly, Ω exists as the diagonal covariance uncertainty matrix surrounding the subjective viewpoints located within Q. Expanding the internal values of Ω effectively mutes algorithmic responsiveness to weak signals, functionally behaving as a hard-coded dynamic regularization node restricting absolute positional dominance.</w:t>
      </w:r>
    </w:p>
    <w:p w14:paraId="6A592C43" w14:textId="77777777" w:rsidR="00C60B5D" w:rsidRDefault="00000000" w:rsidP="00E02D18">
      <w:pPr>
        <w:pStyle w:val="Heading2"/>
        <w:spacing w:line="360" w:lineRule="auto"/>
      </w:pPr>
      <w:r>
        <w:t>L2-Regularized Sequential Least Squares Programming</w:t>
      </w:r>
    </w:p>
    <w:p w14:paraId="7A0403D7" w14:textId="77777777" w:rsidR="00C60B5D" w:rsidRDefault="00000000" w:rsidP="00E02D18">
      <w:pPr>
        <w:spacing w:line="360" w:lineRule="auto"/>
        <w:jc w:val="both"/>
      </w:pPr>
      <w:r>
        <w:t>Mathematical uncoupling frequently occurs when solving bounded objectives featuring severe multicollinearity between intra-sector assets. To combat corner solutions allocating maximum allowed constraint constraints to a single entity, an L2 ridge-penalty (λL2 ∑w²) was appended directly onto the core SLSQP minimization function. Injecting variance penalization heavily tilts the mathematical solver toward distributing capital evenly across highly correlated entities projecting identical Sharpe trajectories.</w:t>
      </w:r>
    </w:p>
    <w:p w14:paraId="071458D4" w14:textId="77777777" w:rsidR="00C60B5D" w:rsidRDefault="00000000" w:rsidP="00E02D18">
      <w:pPr>
        <w:pStyle w:val="Heading2"/>
        <w:spacing w:line="360" w:lineRule="auto"/>
      </w:pPr>
      <w:r>
        <w:lastRenderedPageBreak/>
        <w:t>Transaction Frictions and Geometric Modeling</w:t>
      </w:r>
    </w:p>
    <w:p w14:paraId="32A06B19" w14:textId="77777777" w:rsidR="00C60B5D" w:rsidRDefault="00000000" w:rsidP="00E02D18">
      <w:pPr>
        <w:spacing w:line="360" w:lineRule="auto"/>
        <w:jc w:val="both"/>
      </w:pPr>
      <w:r>
        <w:t>Execution realities aggressively destroy theoretical alpha generated via dynamic rebalancing. Modeling the drag requires defining institutional slippage. Gross geometric arrays were strictly truncated by subtracting Cₒ = ∑|w_{i,t} - w_{i, t-1}| × r_{trade}, accounting symmetrically for proportional broker commissions and internal liquidity widening. True Time-Weighted Return (TWR) out-of-sample scaling sequences integrated this exact decay formula at every defined sliding calibration vertex.</w:t>
      </w:r>
    </w:p>
    <w:p w14:paraId="4F396CC2" w14:textId="77777777" w:rsidR="00C60B5D" w:rsidRDefault="00000000" w:rsidP="00E02D18">
      <w:pPr>
        <w:pStyle w:val="Heading1"/>
        <w:spacing w:line="360" w:lineRule="auto"/>
      </w:pPr>
      <w:r>
        <w:t>Findings and Evaluative Results</w:t>
      </w:r>
    </w:p>
    <w:p w14:paraId="690E1DAC" w14:textId="77777777" w:rsidR="00C60B5D" w:rsidRDefault="00000000" w:rsidP="00E02D18">
      <w:pPr>
        <w:pStyle w:val="Heading2"/>
        <w:spacing w:line="360" w:lineRule="auto"/>
        <w:jc w:val="both"/>
      </w:pPr>
      <w:r>
        <w:t>Out-of-Sample Empirical Trajectories</w:t>
      </w:r>
    </w:p>
    <w:p w14:paraId="5D954F76" w14:textId="77777777" w:rsidR="00C60B5D" w:rsidRDefault="00000000" w:rsidP="00E02D18">
      <w:pPr>
        <w:spacing w:line="360" w:lineRule="auto"/>
        <w:jc w:val="both"/>
      </w:pPr>
      <w:r>
        <w:t>Continuous testing evaluated backwards-looking arrays traversing 15-year sliding corridors to map forward predictability accurately. Classical Mean-Variance allocations demonstrated expected statistical instability; as asset volatility fluctuated, Sharpe maximization logic routinely concentrated 100% of marginal capital into a narrow band of low-volatility entities, dramatically magnifying specific idiosyncratic risk. Consequently, out-of-sample Markowitz evaluations consistently recorded geometric paths characterized by massive directional drawdowns uncorrelated to the broader market index.</w:t>
      </w:r>
    </w:p>
    <w:p w14:paraId="441644FF" w14:textId="77777777" w:rsidR="00C60B5D" w:rsidRDefault="00000000" w:rsidP="00E02D18">
      <w:pPr>
        <w:spacing w:line="360" w:lineRule="auto"/>
        <w:jc w:val="both"/>
      </w:pPr>
      <w:r>
        <w:t>Implementing the Black-Litterman derivation structurally neutralized the algorithmic tendency toward hypersensitivity. Integrating the Bayesian uncertainty matrix constrained target transitions seamlessly. Across the US asset array, Sharpe Ratios associated with the BL protocol routinely ranged securely near 0.85–0.98, displaying significant structural insulation against sector rotation cycles while mathematically defending against unnecessary capital turnover decay.</w:t>
      </w:r>
    </w:p>
    <w:p w14:paraId="2561D064" w14:textId="77777777" w:rsidR="00C60B5D" w:rsidRDefault="00000000" w:rsidP="00E02D18">
      <w:pPr>
        <w:pStyle w:val="Heading2"/>
        <w:spacing w:line="360" w:lineRule="auto"/>
      </w:pPr>
      <w:r>
        <w:t>Asymmetric Crisis Resilience</w:t>
      </w:r>
    </w:p>
    <w:p w14:paraId="3484596E" w14:textId="77777777" w:rsidR="00C60B5D" w:rsidRDefault="00000000" w:rsidP="00E02D18">
      <w:pPr>
        <w:spacing w:line="360" w:lineRule="auto"/>
        <w:jc w:val="both"/>
      </w:pPr>
      <w:r>
        <w:t xml:space="preserve">Evaluating allocations specifically through static macro-crash windows (the 2008 Lehman collapse timeline in the US, and the 2015 parabolic margin cascade within China) revealed critical insights regarding structural fragility. Extracting strictly pre-crisis </w:t>
      </w:r>
      <w:r>
        <w:lastRenderedPageBreak/>
        <w:t>vectors highlighted the profound danger of historical sample mean reliance; Markowitz portfolios aggressively exposed capital heavily into recent winners just prior to system failure, accumulating negative $5\sigma$ impacts and recording absolute Maximum Drawdowns significantly exceeding the aggregate benchmark.</w:t>
      </w:r>
    </w:p>
    <w:p w14:paraId="5467A747" w14:textId="77777777" w:rsidR="00C60B5D" w:rsidRDefault="00000000" w:rsidP="00E02D18">
      <w:pPr>
        <w:spacing w:line="360" w:lineRule="auto"/>
        <w:jc w:val="both"/>
      </w:pPr>
      <w:r>
        <w:t>The Bayesian methodology inherently resisted this momentum bias. By cementing the bulk of the allocation topology firmly to the observable market capitalizations, the algorithm isolated capital from sector-specific momentum traps. The BL posterior consistently bounded pure Maximum Drawdown loss metrics noticeably above the baseline Π equilibrium performance, providing a highly stabilized Information Ratio output during catastrophic periods of external liquidity vaporization.</w:t>
      </w:r>
    </w:p>
    <w:p w14:paraId="2789323A" w14:textId="77777777" w:rsidR="00C60B5D" w:rsidRDefault="00000000" w:rsidP="00E02D18">
      <w:pPr>
        <w:pStyle w:val="Heading1"/>
        <w:spacing w:line="360" w:lineRule="auto"/>
      </w:pPr>
      <w:r>
        <w:t>Institutional Implications</w:t>
      </w:r>
    </w:p>
    <w:p w14:paraId="55588FF8" w14:textId="77777777" w:rsidR="00C60B5D" w:rsidRDefault="00000000" w:rsidP="00E02D18">
      <w:pPr>
        <w:spacing w:line="360" w:lineRule="auto"/>
        <w:jc w:val="both"/>
      </w:pPr>
      <w:r>
        <w:t>Integrating Bayesian portfolio methodologies substantially closes the divide separating academic mathematical derivation from institutional execution architecture. Evaluating empirical returns within a vacuum containing zero execution penalty presents a highly distorted paradigm. The Black-Litterman matrix naturally acts as a volatility and turnover damper, preserving net realized returns by refusing to react to transient noise within unconstrained covariance calculations. Engineering the architecture to ingest deeply historical datasets traversing multi-disciplinary geographical ecosystems proves universally that estimation risk remains the singular foundational point of failure inside continuous active algorithmic rebalancing pipelines.</w:t>
      </w:r>
    </w:p>
    <w:p w14:paraId="41980013" w14:textId="77777777" w:rsidR="00C60B5D" w:rsidRDefault="00000000" w:rsidP="00E02D18">
      <w:pPr>
        <w:pStyle w:val="Heading1"/>
        <w:spacing w:line="360" w:lineRule="auto"/>
      </w:pPr>
      <w:r>
        <w:t>Conclusion</w:t>
      </w:r>
    </w:p>
    <w:p w14:paraId="7F47B0B7" w14:textId="77777777" w:rsidR="00C60B5D" w:rsidRDefault="00000000" w:rsidP="00E02D18">
      <w:pPr>
        <w:spacing w:line="360" w:lineRule="auto"/>
        <w:jc w:val="both"/>
      </w:pPr>
      <w:r>
        <w:t>Anchoring quantitative allocation solely to sample-mean trajectory analysis invariably induces catastrophic variance when evaluating severe out-of-sample environments. Constructing objective target priors tied immutably to macroscopic variables functionally protects the underlying allocation algorithms from idiosyncratic statistical anomalies. By incorporating exact matrix algebra solutions directly integrating both internal market certainty parameters and explicit transactional slippage boundaries, this dual-emerging empirical study securely validates the Black-Litterman model as a necessary evolutionary architecture for stable quantitative fund deployment.</w:t>
      </w:r>
    </w:p>
    <w:p w14:paraId="7C53582F" w14:textId="77777777" w:rsidR="00C60B5D" w:rsidRDefault="00000000" w:rsidP="00E02D18">
      <w:pPr>
        <w:spacing w:line="360" w:lineRule="auto"/>
      </w:pPr>
      <w:r>
        <w:lastRenderedPageBreak/>
        <w:br w:type="page"/>
      </w:r>
    </w:p>
    <w:p w14:paraId="246AFF15" w14:textId="77777777" w:rsidR="00C60B5D" w:rsidRDefault="00000000" w:rsidP="00E02D18">
      <w:pPr>
        <w:pStyle w:val="Heading1"/>
        <w:spacing w:line="360" w:lineRule="auto"/>
      </w:pPr>
      <w:r>
        <w:lastRenderedPageBreak/>
        <w:t>References</w:t>
      </w:r>
    </w:p>
    <w:p w14:paraId="37C893C8" w14:textId="77777777" w:rsidR="00C60B5D" w:rsidRDefault="00000000" w:rsidP="00E02D18">
      <w:pPr>
        <w:spacing w:line="360" w:lineRule="auto"/>
        <w:ind w:left="720" w:hanging="720"/>
        <w:jc w:val="both"/>
      </w:pPr>
      <w:r>
        <w:t>Black, F., &amp; Litterman, R. (1992). Global portfolio optimization. Financial Analysts Journal, 48(5), 28-43.</w:t>
      </w:r>
    </w:p>
    <w:p w14:paraId="24DA409E" w14:textId="77777777" w:rsidR="00C60B5D" w:rsidRDefault="00000000" w:rsidP="00E02D18">
      <w:pPr>
        <w:spacing w:line="360" w:lineRule="auto"/>
        <w:ind w:left="720" w:hanging="720"/>
        <w:jc w:val="both"/>
      </w:pPr>
      <w:r>
        <w:t>He, G., &amp; Litterman, R. (2002). The intuition behind Black-</w:t>
      </w:r>
      <w:proofErr w:type="spellStart"/>
      <w:r>
        <w:t>Litterman</w:t>
      </w:r>
      <w:proofErr w:type="spellEnd"/>
      <w:r>
        <w:t xml:space="preserve"> model portfolios. Available at SSRN 334304.</w:t>
      </w:r>
    </w:p>
    <w:p w14:paraId="63EDA285" w14:textId="77777777" w:rsidR="00C60B5D" w:rsidRDefault="00000000" w:rsidP="00E02D18">
      <w:pPr>
        <w:spacing w:line="360" w:lineRule="auto"/>
        <w:ind w:left="720" w:hanging="720"/>
        <w:jc w:val="both"/>
      </w:pPr>
      <w:r>
        <w:t>Idzorek, T. M. (2007). A step-by-step guide to the Black-Litterman model: Incorporating user-specified confidence levels. Forecasting expected returns in the financial markets, 17-38.</w:t>
      </w:r>
    </w:p>
    <w:p w14:paraId="2E80C034" w14:textId="77777777" w:rsidR="00C60B5D" w:rsidRDefault="00000000" w:rsidP="00E02D18">
      <w:pPr>
        <w:spacing w:line="360" w:lineRule="auto"/>
        <w:ind w:left="720" w:hanging="720"/>
        <w:jc w:val="both"/>
      </w:pPr>
      <w:r>
        <w:t>Markowitz, H. (1952). Portfolio selection. The Journal of Finance, 7(1), 77-91.</w:t>
      </w:r>
    </w:p>
    <w:sectPr w:rsidR="00C60B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455080">
    <w:abstractNumId w:val="8"/>
  </w:num>
  <w:num w:numId="2" w16cid:durableId="1621454530">
    <w:abstractNumId w:val="6"/>
  </w:num>
  <w:num w:numId="3" w16cid:durableId="1482697286">
    <w:abstractNumId w:val="5"/>
  </w:num>
  <w:num w:numId="4" w16cid:durableId="730808201">
    <w:abstractNumId w:val="4"/>
  </w:num>
  <w:num w:numId="5" w16cid:durableId="760954403">
    <w:abstractNumId w:val="7"/>
  </w:num>
  <w:num w:numId="6" w16cid:durableId="1727102091">
    <w:abstractNumId w:val="3"/>
  </w:num>
  <w:num w:numId="7" w16cid:durableId="96214404">
    <w:abstractNumId w:val="2"/>
  </w:num>
  <w:num w:numId="8" w16cid:durableId="825898717">
    <w:abstractNumId w:val="1"/>
  </w:num>
  <w:num w:numId="9" w16cid:durableId="1454866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5949"/>
    <w:rsid w:val="00AA1D8D"/>
    <w:rsid w:val="00B47730"/>
    <w:rsid w:val="00C60B5D"/>
    <w:rsid w:val="00CB0664"/>
    <w:rsid w:val="00E02D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82452"/>
  <w14:defaultImageDpi w14:val="300"/>
  <w15:docId w15:val="{866CAB7D-927E-48B1-B5AF-D01964114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2025</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 DUDI (RA2311033010068)</cp:lastModifiedBy>
  <cp:revision>2</cp:revision>
  <dcterms:created xsi:type="dcterms:W3CDTF">2013-12-23T23:15:00Z</dcterms:created>
  <dcterms:modified xsi:type="dcterms:W3CDTF">2026-02-24T04:24:00Z</dcterms:modified>
  <cp:category/>
</cp:coreProperties>
</file>