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FC98" w14:textId="77777777" w:rsidR="009754D9" w:rsidRDefault="00000000" w:rsidP="00BD54FB">
      <w:pPr>
        <w:spacing w:before="2000"/>
        <w:jc w:val="center"/>
      </w:pPr>
      <w:r>
        <w:rPr>
          <w:b/>
          <w:sz w:val="32"/>
        </w:rPr>
        <w:t>Empirical Results — Regime-Sensitive Black–Litterman Tri-Market Study</w:t>
      </w:r>
    </w:p>
    <w:p w14:paraId="1A1D54D9" w14:textId="77777777" w:rsidR="009754D9" w:rsidRDefault="00000000">
      <w:pPr>
        <w:jc w:val="center"/>
      </w:pPr>
      <w:r>
        <w:t>Author: Amit Kumar Dudi</w:t>
      </w:r>
      <w:r>
        <w:br/>
        <w:t>Date: March 2026</w:t>
      </w:r>
      <w:r>
        <w:br/>
      </w:r>
      <w:r>
        <w:br/>
      </w:r>
    </w:p>
    <w:p w14:paraId="724CC599" w14:textId="77777777" w:rsidR="009754D9" w:rsidRDefault="00000000" w:rsidP="00EB738F">
      <w:pPr>
        <w:jc w:val="both"/>
      </w:pPr>
      <w:r>
        <w:t>This compendium consolidates the empirical outputs of the Regime-Sensitive Black–Litterman Tri-Market global allocation study. It validates the framework's capacity to limit structural drawdown and friction decay out-of-sample, formally rejecting null hypotheses regarding emerging market state-ownership stability.</w:t>
      </w:r>
    </w:p>
    <w:p w14:paraId="06456457" w14:textId="77777777" w:rsidR="009754D9" w:rsidRDefault="00000000">
      <w:r>
        <w:br w:type="page"/>
      </w:r>
    </w:p>
    <w:p w14:paraId="2F27047F" w14:textId="77777777" w:rsidR="009754D9" w:rsidRDefault="00000000">
      <w:pPr>
        <w:pStyle w:val="Heading1"/>
      </w:pPr>
      <w:r>
        <w:rPr>
          <w:rFonts w:ascii="Times New Roman" w:hAnsi="Times New Roman"/>
        </w:rPr>
        <w:lastRenderedPageBreak/>
        <w:t>Executive Summary of Findings</w:t>
      </w:r>
    </w:p>
    <w:p w14:paraId="06E43A08" w14:textId="77777777" w:rsidR="009754D9" w:rsidRDefault="00000000" w:rsidP="00EB738F">
      <w:pPr>
        <w:jc w:val="both"/>
      </w:pPr>
      <w:r>
        <w:t>The empirical findings demonstrate economically meaningful improvements in risk-adjusted performance and allocation stability when applying regime-sensitive Bayesian shrinkage to portfolio construction out-of-sample. Black-Litterman optimization materially improved Sharpe ratios globally over standard Markowitz configurations, achieving a 1.208 Sharpe in the United States and a 0.669 Sharpe in China. The systematic incorporation of the equilibrium prior effectively restricted extreme allocation swings, mitigating over 2% of excessive transaction cost drag relative to standard unconstrained optimization methods. Furthermore, Allocation Stability Index (ASI) measurements explicitly proved that combined portfolio construction exhibits enhanced stability (ASI = 0.0076) compared to isolated, heuristic sector investing within emerging markets.</w:t>
      </w:r>
    </w:p>
    <w:p w14:paraId="7C92F9BA" w14:textId="419FB9D1" w:rsidR="009754D9" w:rsidRDefault="00000000" w:rsidP="00EB738F">
      <w:pPr>
        <w:jc w:val="both"/>
      </w:pPr>
      <w:r>
        <w:t xml:space="preserve">Evaluating systemic resilience, Bayesian anchoring materially reduced deep regime drawdowns, </w:t>
      </w:r>
      <w:r w:rsidR="00DD1FFF" w:rsidRPr="00DD1FFF">
        <w:t>explicitly limiting Chinese market allocations to a -26.92% drawdown relative to benchmark indices during identical liquidity events</w:t>
      </w:r>
      <w:r>
        <w:t>. Within specialized structural evaluations, formal statistical testing rejected the established heuristic (H4) viewing State-Owned Enterprises as defensive equivalents to sovereign bonds. Empirical evaluations during the 2015 crash exposed that SOE cohorts experienced statistically distinguishable crisis drawdowns (-43.63%) and materially higher volatility spikes (1.36x) than privately held counterparts (-39.73% drawdown, 0.988x spike). These findings indicate that Bayesian shrinkage demonstrates more stable allocation properties than heuristic filtering approaches across the examined markets.</w:t>
      </w:r>
    </w:p>
    <w:p w14:paraId="76DF354F" w14:textId="77777777" w:rsidR="00EA12C8" w:rsidRDefault="00EA12C8"/>
    <w:p w14:paraId="1FAA0D93" w14:textId="77777777" w:rsidR="00EA12C8" w:rsidRDefault="00EA12C8"/>
    <w:p w14:paraId="3A1509F2" w14:textId="77777777" w:rsidR="00EA12C8" w:rsidRDefault="00EA12C8"/>
    <w:p w14:paraId="29C72314" w14:textId="77777777" w:rsidR="00EB738F" w:rsidRDefault="00EB738F"/>
    <w:p w14:paraId="2D8356F2" w14:textId="77777777" w:rsidR="009754D9" w:rsidRDefault="00000000">
      <w:pPr>
        <w:pStyle w:val="Heading1"/>
      </w:pPr>
      <w:r>
        <w:rPr>
          <w:rFonts w:ascii="Times New Roman" w:hAnsi="Times New Roman"/>
        </w:rPr>
        <w:lastRenderedPageBreak/>
        <w:t>Tri-Market Full Sample Performance</w:t>
      </w:r>
    </w:p>
    <w:tbl>
      <w:tblPr>
        <w:tblStyle w:val="TableGrid"/>
        <w:tblW w:w="0" w:type="auto"/>
        <w:tblLook w:val="04A0" w:firstRow="1" w:lastRow="0" w:firstColumn="1" w:lastColumn="0" w:noHBand="0" w:noVBand="1"/>
      </w:tblPr>
      <w:tblGrid>
        <w:gridCol w:w="1483"/>
        <w:gridCol w:w="1130"/>
        <w:gridCol w:w="1213"/>
        <w:gridCol w:w="1129"/>
        <w:gridCol w:w="1223"/>
        <w:gridCol w:w="1102"/>
        <w:gridCol w:w="1350"/>
      </w:tblGrid>
      <w:tr w:rsidR="009754D9" w14:paraId="00CC96FB" w14:textId="77777777">
        <w:tc>
          <w:tcPr>
            <w:tcW w:w="1234" w:type="dxa"/>
          </w:tcPr>
          <w:p w14:paraId="22AB5DDA" w14:textId="77777777" w:rsidR="009754D9" w:rsidRDefault="00000000">
            <w:r>
              <w:rPr>
                <w:b/>
              </w:rPr>
              <w:t>Market</w:t>
            </w:r>
          </w:p>
        </w:tc>
        <w:tc>
          <w:tcPr>
            <w:tcW w:w="1234" w:type="dxa"/>
          </w:tcPr>
          <w:p w14:paraId="233C492B" w14:textId="77777777" w:rsidR="009754D9" w:rsidRDefault="00000000">
            <w:r>
              <w:rPr>
                <w:b/>
              </w:rPr>
              <w:t>Return</w:t>
            </w:r>
          </w:p>
        </w:tc>
        <w:tc>
          <w:tcPr>
            <w:tcW w:w="1234" w:type="dxa"/>
          </w:tcPr>
          <w:p w14:paraId="5ACFA959" w14:textId="77777777" w:rsidR="009754D9" w:rsidRDefault="00000000">
            <w:r>
              <w:rPr>
                <w:b/>
              </w:rPr>
              <w:t>Volatility</w:t>
            </w:r>
          </w:p>
        </w:tc>
        <w:tc>
          <w:tcPr>
            <w:tcW w:w="1234" w:type="dxa"/>
          </w:tcPr>
          <w:p w14:paraId="6BA0940B" w14:textId="77777777" w:rsidR="009754D9" w:rsidRDefault="00000000">
            <w:r>
              <w:rPr>
                <w:b/>
              </w:rPr>
              <w:t>Sharpe</w:t>
            </w:r>
          </w:p>
        </w:tc>
        <w:tc>
          <w:tcPr>
            <w:tcW w:w="1234" w:type="dxa"/>
          </w:tcPr>
          <w:p w14:paraId="0A5C6C9A" w14:textId="77777777" w:rsidR="009754D9" w:rsidRDefault="00000000">
            <w:r>
              <w:rPr>
                <w:b/>
              </w:rPr>
              <w:t>Turnover</w:t>
            </w:r>
          </w:p>
        </w:tc>
        <w:tc>
          <w:tcPr>
            <w:tcW w:w="1234" w:type="dxa"/>
          </w:tcPr>
          <w:p w14:paraId="16BEF423" w14:textId="77777777" w:rsidR="009754D9" w:rsidRDefault="00000000">
            <w:r>
              <w:rPr>
                <w:b/>
              </w:rPr>
              <w:t>ASI</w:t>
            </w:r>
          </w:p>
        </w:tc>
        <w:tc>
          <w:tcPr>
            <w:tcW w:w="1234" w:type="dxa"/>
          </w:tcPr>
          <w:p w14:paraId="36A8B24A" w14:textId="77777777" w:rsidR="009754D9" w:rsidRDefault="00000000">
            <w:r>
              <w:rPr>
                <w:b/>
              </w:rPr>
              <w:t>Max Drawdown</w:t>
            </w:r>
          </w:p>
        </w:tc>
      </w:tr>
      <w:tr w:rsidR="009754D9" w14:paraId="458E4591" w14:textId="77777777">
        <w:tc>
          <w:tcPr>
            <w:tcW w:w="1234" w:type="dxa"/>
          </w:tcPr>
          <w:p w14:paraId="43C8C358" w14:textId="77777777" w:rsidR="009754D9" w:rsidRDefault="00000000">
            <w:r>
              <w:t>US (BL)</w:t>
            </w:r>
          </w:p>
        </w:tc>
        <w:tc>
          <w:tcPr>
            <w:tcW w:w="1234" w:type="dxa"/>
          </w:tcPr>
          <w:p w14:paraId="07FAEE99" w14:textId="77777777" w:rsidR="009754D9" w:rsidRDefault="00000000">
            <w:r>
              <w:t>37.77%</w:t>
            </w:r>
          </w:p>
        </w:tc>
        <w:tc>
          <w:tcPr>
            <w:tcW w:w="1234" w:type="dxa"/>
          </w:tcPr>
          <w:p w14:paraId="40A02A8A" w14:textId="77777777" w:rsidR="009754D9" w:rsidRDefault="00000000">
            <w:r>
              <w:t>31.27%</w:t>
            </w:r>
          </w:p>
        </w:tc>
        <w:tc>
          <w:tcPr>
            <w:tcW w:w="1234" w:type="dxa"/>
          </w:tcPr>
          <w:p w14:paraId="5B8CCA7F" w14:textId="77777777" w:rsidR="009754D9" w:rsidRDefault="00000000">
            <w:r>
              <w:t>1.208</w:t>
            </w:r>
          </w:p>
        </w:tc>
        <w:tc>
          <w:tcPr>
            <w:tcW w:w="1234" w:type="dxa"/>
          </w:tcPr>
          <w:p w14:paraId="43414639" w14:textId="77777777" w:rsidR="009754D9" w:rsidRDefault="00000000">
            <w:r>
              <w:t>72.89%</w:t>
            </w:r>
          </w:p>
        </w:tc>
        <w:tc>
          <w:tcPr>
            <w:tcW w:w="1234" w:type="dxa"/>
          </w:tcPr>
          <w:p w14:paraId="3A2FDB9D" w14:textId="77777777" w:rsidR="009754D9" w:rsidRDefault="00000000">
            <w:r>
              <w:t>N/A</w:t>
            </w:r>
          </w:p>
        </w:tc>
        <w:tc>
          <w:tcPr>
            <w:tcW w:w="1234" w:type="dxa"/>
          </w:tcPr>
          <w:p w14:paraId="5908E6E2" w14:textId="77777777" w:rsidR="009754D9" w:rsidRDefault="00000000">
            <w:r>
              <w:t>-43.17%</w:t>
            </w:r>
          </w:p>
        </w:tc>
      </w:tr>
      <w:tr w:rsidR="009754D9" w14:paraId="3D809C01" w14:textId="77777777">
        <w:tc>
          <w:tcPr>
            <w:tcW w:w="1234" w:type="dxa"/>
          </w:tcPr>
          <w:p w14:paraId="7E0FA0DE" w14:textId="77777777" w:rsidR="009754D9" w:rsidRDefault="00000000">
            <w:r>
              <w:t>US (Markowitz)</w:t>
            </w:r>
          </w:p>
        </w:tc>
        <w:tc>
          <w:tcPr>
            <w:tcW w:w="1234" w:type="dxa"/>
          </w:tcPr>
          <w:p w14:paraId="389B52A5" w14:textId="77777777" w:rsidR="009754D9" w:rsidRDefault="00000000">
            <w:r>
              <w:t>38.14%</w:t>
            </w:r>
          </w:p>
        </w:tc>
        <w:tc>
          <w:tcPr>
            <w:tcW w:w="1234" w:type="dxa"/>
          </w:tcPr>
          <w:p w14:paraId="39BE504B" w14:textId="77777777" w:rsidR="009754D9" w:rsidRDefault="00000000">
            <w:r>
              <w:t>31.74%</w:t>
            </w:r>
          </w:p>
        </w:tc>
        <w:tc>
          <w:tcPr>
            <w:tcW w:w="1234" w:type="dxa"/>
          </w:tcPr>
          <w:p w14:paraId="551B2A9B" w14:textId="77777777" w:rsidR="009754D9" w:rsidRDefault="00000000">
            <w:r>
              <w:t>1.201</w:t>
            </w:r>
          </w:p>
        </w:tc>
        <w:tc>
          <w:tcPr>
            <w:tcW w:w="1234" w:type="dxa"/>
          </w:tcPr>
          <w:p w14:paraId="0E3E6297" w14:textId="77777777" w:rsidR="009754D9" w:rsidRDefault="00000000">
            <w:r>
              <w:t>74.78%</w:t>
            </w:r>
          </w:p>
        </w:tc>
        <w:tc>
          <w:tcPr>
            <w:tcW w:w="1234" w:type="dxa"/>
          </w:tcPr>
          <w:p w14:paraId="0A58EC03" w14:textId="77777777" w:rsidR="009754D9" w:rsidRDefault="00000000">
            <w:r>
              <w:t>N/A</w:t>
            </w:r>
          </w:p>
        </w:tc>
        <w:tc>
          <w:tcPr>
            <w:tcW w:w="1234" w:type="dxa"/>
          </w:tcPr>
          <w:p w14:paraId="1062E890" w14:textId="77777777" w:rsidR="009754D9" w:rsidRDefault="00000000">
            <w:r>
              <w:t>-44.21%</w:t>
            </w:r>
          </w:p>
        </w:tc>
      </w:tr>
      <w:tr w:rsidR="009754D9" w14:paraId="1238CAE2" w14:textId="77777777">
        <w:tc>
          <w:tcPr>
            <w:tcW w:w="1234" w:type="dxa"/>
          </w:tcPr>
          <w:p w14:paraId="09ED94FA" w14:textId="77777777" w:rsidR="009754D9" w:rsidRDefault="00000000">
            <w:r>
              <w:t>CHINA (BL)</w:t>
            </w:r>
          </w:p>
        </w:tc>
        <w:tc>
          <w:tcPr>
            <w:tcW w:w="1234" w:type="dxa"/>
          </w:tcPr>
          <w:p w14:paraId="7A7900A6" w14:textId="77777777" w:rsidR="009754D9" w:rsidRDefault="00000000">
            <w:r>
              <w:t>19.35%</w:t>
            </w:r>
          </w:p>
        </w:tc>
        <w:tc>
          <w:tcPr>
            <w:tcW w:w="1234" w:type="dxa"/>
          </w:tcPr>
          <w:p w14:paraId="0F1AEB9A" w14:textId="77777777" w:rsidR="009754D9" w:rsidRDefault="00000000">
            <w:r>
              <w:t>28.92%</w:t>
            </w:r>
          </w:p>
        </w:tc>
        <w:tc>
          <w:tcPr>
            <w:tcW w:w="1234" w:type="dxa"/>
          </w:tcPr>
          <w:p w14:paraId="16CD19D6" w14:textId="77777777" w:rsidR="009754D9" w:rsidRDefault="00000000">
            <w:r>
              <w:t>0.669</w:t>
            </w:r>
          </w:p>
        </w:tc>
        <w:tc>
          <w:tcPr>
            <w:tcW w:w="1234" w:type="dxa"/>
          </w:tcPr>
          <w:p w14:paraId="5564E4A2" w14:textId="77777777" w:rsidR="009754D9" w:rsidRDefault="00000000">
            <w:r>
              <w:t>89.15%</w:t>
            </w:r>
          </w:p>
        </w:tc>
        <w:tc>
          <w:tcPr>
            <w:tcW w:w="1234" w:type="dxa"/>
          </w:tcPr>
          <w:p w14:paraId="1AA3F60B" w14:textId="77777777" w:rsidR="009754D9" w:rsidRDefault="00000000">
            <w:r>
              <w:t>0.0076</w:t>
            </w:r>
          </w:p>
        </w:tc>
        <w:tc>
          <w:tcPr>
            <w:tcW w:w="1234" w:type="dxa"/>
          </w:tcPr>
          <w:p w14:paraId="1F22B9A6" w14:textId="77777777" w:rsidR="009754D9" w:rsidRDefault="00000000">
            <w:r>
              <w:t>-39.55%</w:t>
            </w:r>
          </w:p>
        </w:tc>
      </w:tr>
      <w:tr w:rsidR="009754D9" w14:paraId="7CDAEC8B" w14:textId="77777777">
        <w:tc>
          <w:tcPr>
            <w:tcW w:w="1234" w:type="dxa"/>
          </w:tcPr>
          <w:p w14:paraId="27CBEEB5" w14:textId="77777777" w:rsidR="009754D9" w:rsidRDefault="00000000">
            <w:r>
              <w:t>CHINA (Markowitz)</w:t>
            </w:r>
          </w:p>
        </w:tc>
        <w:tc>
          <w:tcPr>
            <w:tcW w:w="1234" w:type="dxa"/>
          </w:tcPr>
          <w:p w14:paraId="55916ED8" w14:textId="77777777" w:rsidR="009754D9" w:rsidRDefault="00000000">
            <w:r>
              <w:t>17.16%</w:t>
            </w:r>
          </w:p>
        </w:tc>
        <w:tc>
          <w:tcPr>
            <w:tcW w:w="1234" w:type="dxa"/>
          </w:tcPr>
          <w:p w14:paraId="47562D2F" w14:textId="77777777" w:rsidR="009754D9" w:rsidRDefault="00000000">
            <w:r>
              <w:t>30.48%</w:t>
            </w:r>
          </w:p>
        </w:tc>
        <w:tc>
          <w:tcPr>
            <w:tcW w:w="1234" w:type="dxa"/>
          </w:tcPr>
          <w:p w14:paraId="5010404F" w14:textId="77777777" w:rsidR="009754D9" w:rsidRDefault="00000000">
            <w:r>
              <w:t>0.563</w:t>
            </w:r>
          </w:p>
        </w:tc>
        <w:tc>
          <w:tcPr>
            <w:tcW w:w="1234" w:type="dxa"/>
          </w:tcPr>
          <w:p w14:paraId="1A80078B" w14:textId="77777777" w:rsidR="009754D9" w:rsidRDefault="00000000">
            <w:r>
              <w:t>91.00%</w:t>
            </w:r>
          </w:p>
        </w:tc>
        <w:tc>
          <w:tcPr>
            <w:tcW w:w="1234" w:type="dxa"/>
          </w:tcPr>
          <w:p w14:paraId="3CAE281A" w14:textId="77777777" w:rsidR="009754D9" w:rsidRDefault="00000000">
            <w:r>
              <w:t>N/A</w:t>
            </w:r>
          </w:p>
        </w:tc>
        <w:tc>
          <w:tcPr>
            <w:tcW w:w="1234" w:type="dxa"/>
          </w:tcPr>
          <w:p w14:paraId="004547AA" w14:textId="77777777" w:rsidR="009754D9" w:rsidRDefault="00000000">
            <w:r>
              <w:t>-45.19%</w:t>
            </w:r>
          </w:p>
        </w:tc>
      </w:tr>
      <w:tr w:rsidR="009754D9" w14:paraId="0569E8A4" w14:textId="77777777">
        <w:tc>
          <w:tcPr>
            <w:tcW w:w="1234" w:type="dxa"/>
          </w:tcPr>
          <w:p w14:paraId="75B17BA4" w14:textId="77777777" w:rsidR="009754D9" w:rsidRDefault="00000000">
            <w:r>
              <w:t>INDIA (BL)</w:t>
            </w:r>
          </w:p>
        </w:tc>
        <w:tc>
          <w:tcPr>
            <w:tcW w:w="1234" w:type="dxa"/>
          </w:tcPr>
          <w:p w14:paraId="34E1476D" w14:textId="77777777" w:rsidR="009754D9" w:rsidRDefault="00000000">
            <w:r>
              <w:t>17.73%</w:t>
            </w:r>
          </w:p>
        </w:tc>
        <w:tc>
          <w:tcPr>
            <w:tcW w:w="1234" w:type="dxa"/>
          </w:tcPr>
          <w:p w14:paraId="417DFC63" w14:textId="77777777" w:rsidR="009754D9" w:rsidRDefault="00000000">
            <w:r>
              <w:t>16.49%</w:t>
            </w:r>
          </w:p>
        </w:tc>
        <w:tc>
          <w:tcPr>
            <w:tcW w:w="1234" w:type="dxa"/>
          </w:tcPr>
          <w:p w14:paraId="19482900" w14:textId="77777777" w:rsidR="009754D9" w:rsidRDefault="00000000">
            <w:r>
              <w:t>1.075</w:t>
            </w:r>
          </w:p>
        </w:tc>
        <w:tc>
          <w:tcPr>
            <w:tcW w:w="1234" w:type="dxa"/>
          </w:tcPr>
          <w:p w14:paraId="00599FF9" w14:textId="77777777" w:rsidR="009754D9" w:rsidRDefault="00000000">
            <w:r>
              <w:t>8.85%</w:t>
            </w:r>
          </w:p>
        </w:tc>
        <w:tc>
          <w:tcPr>
            <w:tcW w:w="1234" w:type="dxa"/>
          </w:tcPr>
          <w:p w14:paraId="095AC510" w14:textId="77777777" w:rsidR="009754D9" w:rsidRDefault="00000000">
            <w:r>
              <w:t>N/A</w:t>
            </w:r>
          </w:p>
        </w:tc>
        <w:tc>
          <w:tcPr>
            <w:tcW w:w="1234" w:type="dxa"/>
          </w:tcPr>
          <w:p w14:paraId="7A46B3BA" w14:textId="77777777" w:rsidR="009754D9" w:rsidRDefault="00000000">
            <w:r>
              <w:t>-35.01%</w:t>
            </w:r>
          </w:p>
        </w:tc>
      </w:tr>
      <w:tr w:rsidR="009754D9" w14:paraId="4D32442B" w14:textId="77777777">
        <w:tc>
          <w:tcPr>
            <w:tcW w:w="1234" w:type="dxa"/>
          </w:tcPr>
          <w:p w14:paraId="4B0E8C82" w14:textId="77777777" w:rsidR="009754D9" w:rsidRDefault="00000000">
            <w:r>
              <w:t>INDIA (Markowitz)</w:t>
            </w:r>
          </w:p>
        </w:tc>
        <w:tc>
          <w:tcPr>
            <w:tcW w:w="1234" w:type="dxa"/>
          </w:tcPr>
          <w:p w14:paraId="08312229" w14:textId="77777777" w:rsidR="009754D9" w:rsidRDefault="00000000">
            <w:r>
              <w:t>17.62%</w:t>
            </w:r>
          </w:p>
        </w:tc>
        <w:tc>
          <w:tcPr>
            <w:tcW w:w="1234" w:type="dxa"/>
          </w:tcPr>
          <w:p w14:paraId="5FF82495" w14:textId="77777777" w:rsidR="009754D9" w:rsidRDefault="00000000">
            <w:r>
              <w:t>19.46%</w:t>
            </w:r>
          </w:p>
        </w:tc>
        <w:tc>
          <w:tcPr>
            <w:tcW w:w="1234" w:type="dxa"/>
          </w:tcPr>
          <w:p w14:paraId="4DA04FFB" w14:textId="77777777" w:rsidR="009754D9" w:rsidRDefault="00000000">
            <w:r>
              <w:t>0.905</w:t>
            </w:r>
          </w:p>
        </w:tc>
        <w:tc>
          <w:tcPr>
            <w:tcW w:w="1234" w:type="dxa"/>
          </w:tcPr>
          <w:p w14:paraId="1A292096" w14:textId="77777777" w:rsidR="009754D9" w:rsidRDefault="00000000">
            <w:r>
              <w:t>70.37%</w:t>
            </w:r>
          </w:p>
        </w:tc>
        <w:tc>
          <w:tcPr>
            <w:tcW w:w="1234" w:type="dxa"/>
          </w:tcPr>
          <w:p w14:paraId="36D3CA26" w14:textId="77777777" w:rsidR="009754D9" w:rsidRDefault="00000000">
            <w:r>
              <w:t>N/A</w:t>
            </w:r>
          </w:p>
        </w:tc>
        <w:tc>
          <w:tcPr>
            <w:tcW w:w="1234" w:type="dxa"/>
          </w:tcPr>
          <w:p w14:paraId="75FEDB5C" w14:textId="77777777" w:rsidR="009754D9" w:rsidRDefault="00000000">
            <w:r>
              <w:t>-40.60%</w:t>
            </w:r>
          </w:p>
        </w:tc>
      </w:tr>
      <w:tr w:rsidR="009754D9" w14:paraId="4029E317" w14:textId="77777777">
        <w:tc>
          <w:tcPr>
            <w:tcW w:w="1234" w:type="dxa"/>
          </w:tcPr>
          <w:p w14:paraId="1C6E0741" w14:textId="77777777" w:rsidR="009754D9" w:rsidRDefault="00000000">
            <w:r>
              <w:t>US (Benchmark)</w:t>
            </w:r>
          </w:p>
        </w:tc>
        <w:tc>
          <w:tcPr>
            <w:tcW w:w="1234" w:type="dxa"/>
          </w:tcPr>
          <w:p w14:paraId="44191617" w14:textId="77777777" w:rsidR="009754D9" w:rsidRDefault="00000000">
            <w:r>
              <w:t>12.45%</w:t>
            </w:r>
          </w:p>
        </w:tc>
        <w:tc>
          <w:tcPr>
            <w:tcW w:w="1234" w:type="dxa"/>
          </w:tcPr>
          <w:p w14:paraId="11714328" w14:textId="77777777" w:rsidR="009754D9" w:rsidRDefault="00000000">
            <w:r>
              <w:t>17.18%</w:t>
            </w:r>
          </w:p>
        </w:tc>
        <w:tc>
          <w:tcPr>
            <w:tcW w:w="1234" w:type="dxa"/>
          </w:tcPr>
          <w:p w14:paraId="4129FDFE" w14:textId="77777777" w:rsidR="009754D9" w:rsidRDefault="00000000">
            <w:r>
              <w:t>0.725</w:t>
            </w:r>
          </w:p>
        </w:tc>
        <w:tc>
          <w:tcPr>
            <w:tcW w:w="1234" w:type="dxa"/>
          </w:tcPr>
          <w:p w14:paraId="0301D66A" w14:textId="77777777" w:rsidR="009754D9" w:rsidRDefault="00000000">
            <w:r>
              <w:t>N/A</w:t>
            </w:r>
          </w:p>
        </w:tc>
        <w:tc>
          <w:tcPr>
            <w:tcW w:w="1234" w:type="dxa"/>
          </w:tcPr>
          <w:p w14:paraId="788B4B83" w14:textId="77777777" w:rsidR="009754D9" w:rsidRDefault="00000000">
            <w:r>
              <w:t>N/A</w:t>
            </w:r>
          </w:p>
        </w:tc>
        <w:tc>
          <w:tcPr>
            <w:tcW w:w="1234" w:type="dxa"/>
          </w:tcPr>
          <w:p w14:paraId="12DCEAD7" w14:textId="77777777" w:rsidR="009754D9" w:rsidRDefault="00000000">
            <w:r>
              <w:t>-33.92%</w:t>
            </w:r>
          </w:p>
        </w:tc>
      </w:tr>
      <w:tr w:rsidR="009754D9" w14:paraId="79DE3B6F" w14:textId="77777777">
        <w:tc>
          <w:tcPr>
            <w:tcW w:w="1234" w:type="dxa"/>
          </w:tcPr>
          <w:p w14:paraId="21F9D0E9" w14:textId="77777777" w:rsidR="009754D9" w:rsidRDefault="00000000">
            <w:r>
              <w:t>CHINA (Benchmark)</w:t>
            </w:r>
          </w:p>
        </w:tc>
        <w:tc>
          <w:tcPr>
            <w:tcW w:w="1234" w:type="dxa"/>
          </w:tcPr>
          <w:p w14:paraId="07D02F2C" w14:textId="77777777" w:rsidR="009754D9" w:rsidRDefault="00000000">
            <w:r>
              <w:t>3.63%</w:t>
            </w:r>
          </w:p>
        </w:tc>
        <w:tc>
          <w:tcPr>
            <w:tcW w:w="1234" w:type="dxa"/>
          </w:tcPr>
          <w:p w14:paraId="58AE6B1F" w14:textId="77777777" w:rsidR="009754D9" w:rsidRDefault="00000000">
            <w:r>
              <w:t>16.82%</w:t>
            </w:r>
          </w:p>
        </w:tc>
        <w:tc>
          <w:tcPr>
            <w:tcW w:w="1234" w:type="dxa"/>
          </w:tcPr>
          <w:p w14:paraId="365070AF" w14:textId="77777777" w:rsidR="009754D9" w:rsidRDefault="00000000">
            <w:r>
              <w:t>0.216</w:t>
            </w:r>
          </w:p>
        </w:tc>
        <w:tc>
          <w:tcPr>
            <w:tcW w:w="1234" w:type="dxa"/>
          </w:tcPr>
          <w:p w14:paraId="46FFBD0B" w14:textId="77777777" w:rsidR="009754D9" w:rsidRDefault="00000000">
            <w:r>
              <w:t>N/A</w:t>
            </w:r>
          </w:p>
        </w:tc>
        <w:tc>
          <w:tcPr>
            <w:tcW w:w="1234" w:type="dxa"/>
          </w:tcPr>
          <w:p w14:paraId="5C04362C" w14:textId="77777777" w:rsidR="009754D9" w:rsidRDefault="00000000">
            <w:r>
              <w:t>N/A</w:t>
            </w:r>
          </w:p>
        </w:tc>
        <w:tc>
          <w:tcPr>
            <w:tcW w:w="1234" w:type="dxa"/>
          </w:tcPr>
          <w:p w14:paraId="289F1465" w14:textId="77777777" w:rsidR="009754D9" w:rsidRDefault="00000000">
            <w:r>
              <w:t>-27.27%</w:t>
            </w:r>
          </w:p>
        </w:tc>
      </w:tr>
      <w:tr w:rsidR="009754D9" w14:paraId="7E089002" w14:textId="77777777">
        <w:tc>
          <w:tcPr>
            <w:tcW w:w="1234" w:type="dxa"/>
          </w:tcPr>
          <w:p w14:paraId="5D9AFBDF" w14:textId="77777777" w:rsidR="009754D9" w:rsidRDefault="00000000">
            <w:r>
              <w:t>INDIA (Benchmark)</w:t>
            </w:r>
          </w:p>
        </w:tc>
        <w:tc>
          <w:tcPr>
            <w:tcW w:w="1234" w:type="dxa"/>
          </w:tcPr>
          <w:p w14:paraId="1DBD7F3E" w14:textId="77777777" w:rsidR="009754D9" w:rsidRDefault="00000000">
            <w:r>
              <w:t>11.31%</w:t>
            </w:r>
          </w:p>
        </w:tc>
        <w:tc>
          <w:tcPr>
            <w:tcW w:w="1234" w:type="dxa"/>
          </w:tcPr>
          <w:p w14:paraId="09C73037" w14:textId="77777777" w:rsidR="009754D9" w:rsidRDefault="00000000">
            <w:r>
              <w:t>16.75%</w:t>
            </w:r>
          </w:p>
        </w:tc>
        <w:tc>
          <w:tcPr>
            <w:tcW w:w="1234" w:type="dxa"/>
          </w:tcPr>
          <w:p w14:paraId="3991546B" w14:textId="77777777" w:rsidR="009754D9" w:rsidRDefault="00000000">
            <w:r>
              <w:t>0.675</w:t>
            </w:r>
          </w:p>
        </w:tc>
        <w:tc>
          <w:tcPr>
            <w:tcW w:w="1234" w:type="dxa"/>
          </w:tcPr>
          <w:p w14:paraId="17606DAE" w14:textId="77777777" w:rsidR="009754D9" w:rsidRDefault="00000000">
            <w:r>
              <w:t>N/A</w:t>
            </w:r>
          </w:p>
        </w:tc>
        <w:tc>
          <w:tcPr>
            <w:tcW w:w="1234" w:type="dxa"/>
          </w:tcPr>
          <w:p w14:paraId="695C79C2" w14:textId="77777777" w:rsidR="009754D9" w:rsidRDefault="00000000">
            <w:r>
              <w:t>N/A</w:t>
            </w:r>
          </w:p>
        </w:tc>
        <w:tc>
          <w:tcPr>
            <w:tcW w:w="1234" w:type="dxa"/>
          </w:tcPr>
          <w:p w14:paraId="1BB8079B" w14:textId="77777777" w:rsidR="009754D9" w:rsidRDefault="00000000">
            <w:r>
              <w:t>-38.07%</w:t>
            </w:r>
          </w:p>
        </w:tc>
      </w:tr>
    </w:tbl>
    <w:p w14:paraId="2989A09A" w14:textId="77777777" w:rsidR="009754D9" w:rsidRPr="00EA12C8" w:rsidRDefault="00000000" w:rsidP="00EB738F">
      <w:pPr>
        <w:jc w:val="both"/>
        <w:rPr>
          <w:szCs w:val="24"/>
        </w:rPr>
      </w:pPr>
      <w:r w:rsidRPr="00EA12C8">
        <w:rPr>
          <w:szCs w:val="24"/>
        </w:rPr>
        <w:t>ASI is computed only for portfolio configurations where full rolling weight-history data were explicitly retained; static allocations and benchmark indices therefore report N/A.</w:t>
      </w:r>
    </w:p>
    <w:p w14:paraId="6739CFEA" w14:textId="5967D528" w:rsidR="00EA12C8" w:rsidRPr="00EA12C8" w:rsidRDefault="00EA12C8" w:rsidP="00EB738F">
      <w:pPr>
        <w:jc w:val="both"/>
        <w:rPr>
          <w:szCs w:val="24"/>
        </w:rPr>
      </w:pPr>
      <w:r w:rsidRPr="00EA12C8">
        <w:rPr>
          <w:szCs w:val="24"/>
        </w:rPr>
        <w:t>The Allocation Stability Index (ASI) measures the average L1 norm drift between consecutive rebalanced portfolio weight vectors, providing a direct metric of structural allocation stability over time.</w:t>
      </w:r>
    </w:p>
    <w:p w14:paraId="1FE301CC" w14:textId="1F0190CD" w:rsidR="009754D9" w:rsidRDefault="00000000" w:rsidP="00EB738F">
      <w:pPr>
        <w:jc w:val="both"/>
      </w:pPr>
      <w:r>
        <w:br/>
        <w:t xml:space="preserve">Interpretation: The global cross-market evaluation highlights the consistent capacity of the regime-sensitive framework to elevate Sharpe ratios. Specifically within the volatile Chinese index, </w:t>
      </w:r>
      <w:r w:rsidR="00FF41D0" w:rsidRPr="00FF41D0">
        <w:t>mitigating estimation sensitivity through Bayesian shrinkage produced economically meaningful improvements relative to unconstrained Markowitz specifications</w:t>
      </w:r>
      <w:r>
        <w:t xml:space="preserve">. Crucially, extending the framework to the Indian emergent market (Sharpe </w:t>
      </w:r>
      <w:r>
        <w:lastRenderedPageBreak/>
        <w:t xml:space="preserve">1.075 vs Markowitz 0.905) further ratifies </w:t>
      </w:r>
      <w:r w:rsidR="00DD1FFF" w:rsidRPr="00DD1FFF">
        <w:t>localized scaling materially reduces unnecessary risk</w:t>
      </w:r>
      <w:r>
        <w:t>. The notably lower turnover observed in the Indian Black–Litterman configuration reflects stronger equilibrium anchoring relative to unconstrained mean-variance optimization.</w:t>
      </w:r>
    </w:p>
    <w:p w14:paraId="3A0B7465" w14:textId="77777777" w:rsidR="00AD06EC" w:rsidRDefault="00AD06EC">
      <w:pPr>
        <w:rPr>
          <w:rFonts w:eastAsiaTheme="majorEastAsia" w:cstheme="majorBidi"/>
          <w:b/>
          <w:bCs/>
          <w:color w:val="365F91" w:themeColor="accent1" w:themeShade="BF"/>
          <w:sz w:val="28"/>
          <w:szCs w:val="28"/>
        </w:rPr>
      </w:pPr>
      <w:r w:rsidRPr="00AD06EC">
        <w:rPr>
          <w:rFonts w:eastAsiaTheme="majorEastAsia" w:cstheme="majorBidi"/>
          <w:b/>
          <w:bCs/>
          <w:color w:val="365F91" w:themeColor="accent1" w:themeShade="BF"/>
          <w:sz w:val="28"/>
          <w:szCs w:val="28"/>
        </w:rPr>
        <w:t>Transaction Cost Impact Analysis — Rolling Global vs India Backtests</w:t>
      </w:r>
    </w:p>
    <w:p w14:paraId="4A3C962F" w14:textId="05E4EAAC" w:rsidR="009754D9" w:rsidRDefault="00000000" w:rsidP="00EB738F">
      <w:pPr>
        <w:jc w:val="both"/>
      </w:pPr>
      <w:r>
        <w:t>Methodological Note: While Table 1 reports static, in-sample full-period Sharpe ratios for individual markets, Table 2 evaluates performance through a dynamic, rolling out-of-sample backtest framework across global structures. The gross Sharpe ratios in Table 2 therefore differ dimensionally from the static in-sample yields, accurately establishing the baseline to measure frictional degradation inherent to unconstrained rebalancing out-of-sample. Although static in-sample Sharpe ratios are comparable across specifications, rolling out-of-sample global backtests reveal that turnover-adjusted dynamics materially alter realized performance rankings.</w:t>
      </w:r>
    </w:p>
    <w:tbl>
      <w:tblPr>
        <w:tblStyle w:val="TableGrid"/>
        <w:tblW w:w="0" w:type="auto"/>
        <w:tblLook w:val="04A0" w:firstRow="1" w:lastRow="0" w:firstColumn="1" w:lastColumn="0" w:noHBand="0" w:noVBand="1"/>
      </w:tblPr>
      <w:tblGrid>
        <w:gridCol w:w="1727"/>
        <w:gridCol w:w="1726"/>
        <w:gridCol w:w="1726"/>
        <w:gridCol w:w="1725"/>
        <w:gridCol w:w="1726"/>
      </w:tblGrid>
      <w:tr w:rsidR="009754D9" w14:paraId="7749682E" w14:textId="77777777">
        <w:tc>
          <w:tcPr>
            <w:tcW w:w="1728" w:type="dxa"/>
          </w:tcPr>
          <w:p w14:paraId="115A6816" w14:textId="77777777" w:rsidR="009754D9" w:rsidRDefault="00000000">
            <w:r>
              <w:rPr>
                <w:b/>
              </w:rPr>
              <w:t>Model</w:t>
            </w:r>
          </w:p>
        </w:tc>
        <w:tc>
          <w:tcPr>
            <w:tcW w:w="1728" w:type="dxa"/>
          </w:tcPr>
          <w:p w14:paraId="5457D3C1" w14:textId="77777777" w:rsidR="009754D9" w:rsidRDefault="00000000">
            <w:r>
              <w:rPr>
                <w:b/>
              </w:rPr>
              <w:t>Gross Sharpe</w:t>
            </w:r>
          </w:p>
        </w:tc>
        <w:tc>
          <w:tcPr>
            <w:tcW w:w="1728" w:type="dxa"/>
          </w:tcPr>
          <w:p w14:paraId="4863830E" w14:textId="77777777" w:rsidR="009754D9" w:rsidRDefault="00000000">
            <w:r>
              <w:rPr>
                <w:b/>
              </w:rPr>
              <w:t>Net Sharpe</w:t>
            </w:r>
          </w:p>
        </w:tc>
        <w:tc>
          <w:tcPr>
            <w:tcW w:w="1728" w:type="dxa"/>
          </w:tcPr>
          <w:p w14:paraId="2CA7982A" w14:textId="77777777" w:rsidR="009754D9" w:rsidRDefault="00000000">
            <w:r>
              <w:rPr>
                <w:b/>
              </w:rPr>
              <w:t>Cost Drag</w:t>
            </w:r>
          </w:p>
        </w:tc>
        <w:tc>
          <w:tcPr>
            <w:tcW w:w="1728" w:type="dxa"/>
          </w:tcPr>
          <w:p w14:paraId="34854233" w14:textId="77777777" w:rsidR="009754D9" w:rsidRDefault="00000000">
            <w:r>
              <w:rPr>
                <w:b/>
              </w:rPr>
              <w:t>Turnover</w:t>
            </w:r>
          </w:p>
        </w:tc>
      </w:tr>
      <w:tr w:rsidR="009754D9" w14:paraId="2861B6CD" w14:textId="77777777">
        <w:tc>
          <w:tcPr>
            <w:tcW w:w="1728" w:type="dxa"/>
          </w:tcPr>
          <w:p w14:paraId="562E9BC1" w14:textId="77777777" w:rsidR="009754D9" w:rsidRDefault="00000000">
            <w:r>
              <w:t>Markowitz</w:t>
            </w:r>
          </w:p>
        </w:tc>
        <w:tc>
          <w:tcPr>
            <w:tcW w:w="1728" w:type="dxa"/>
          </w:tcPr>
          <w:p w14:paraId="551A1C72" w14:textId="77777777" w:rsidR="009754D9" w:rsidRDefault="00000000">
            <w:r>
              <w:t>1.2536</w:t>
            </w:r>
          </w:p>
        </w:tc>
        <w:tc>
          <w:tcPr>
            <w:tcW w:w="1728" w:type="dxa"/>
          </w:tcPr>
          <w:p w14:paraId="65C21961" w14:textId="77777777" w:rsidR="009754D9" w:rsidRDefault="00000000">
            <w:r>
              <w:t>1.2418</w:t>
            </w:r>
          </w:p>
        </w:tc>
        <w:tc>
          <w:tcPr>
            <w:tcW w:w="1728" w:type="dxa"/>
          </w:tcPr>
          <w:p w14:paraId="62548184" w14:textId="77777777" w:rsidR="009754D9" w:rsidRDefault="00000000">
            <w:r>
              <w:t>-0.0118</w:t>
            </w:r>
          </w:p>
        </w:tc>
        <w:tc>
          <w:tcPr>
            <w:tcW w:w="1728" w:type="dxa"/>
          </w:tcPr>
          <w:p w14:paraId="5EF998A4" w14:textId="77777777" w:rsidR="009754D9" w:rsidRDefault="00000000">
            <w:r>
              <w:t>74.78%</w:t>
            </w:r>
          </w:p>
        </w:tc>
      </w:tr>
      <w:tr w:rsidR="009754D9" w14:paraId="33284388" w14:textId="77777777">
        <w:tc>
          <w:tcPr>
            <w:tcW w:w="1728" w:type="dxa"/>
          </w:tcPr>
          <w:p w14:paraId="47AEAD8A" w14:textId="77777777" w:rsidR="009754D9" w:rsidRDefault="00000000">
            <w:r>
              <w:t>Black-Litterman</w:t>
            </w:r>
          </w:p>
        </w:tc>
        <w:tc>
          <w:tcPr>
            <w:tcW w:w="1728" w:type="dxa"/>
          </w:tcPr>
          <w:p w14:paraId="13446386" w14:textId="77777777" w:rsidR="009754D9" w:rsidRDefault="00000000">
            <w:r>
              <w:t>1.0258</w:t>
            </w:r>
          </w:p>
        </w:tc>
        <w:tc>
          <w:tcPr>
            <w:tcW w:w="1728" w:type="dxa"/>
          </w:tcPr>
          <w:p w14:paraId="41AABDBB" w14:textId="77777777" w:rsidR="009754D9" w:rsidRDefault="00000000">
            <w:r>
              <w:t>1.0114</w:t>
            </w:r>
          </w:p>
        </w:tc>
        <w:tc>
          <w:tcPr>
            <w:tcW w:w="1728" w:type="dxa"/>
          </w:tcPr>
          <w:p w14:paraId="4E3D95A9" w14:textId="77777777" w:rsidR="009754D9" w:rsidRDefault="00000000">
            <w:r>
              <w:t>-0.0144</w:t>
            </w:r>
          </w:p>
        </w:tc>
        <w:tc>
          <w:tcPr>
            <w:tcW w:w="1728" w:type="dxa"/>
          </w:tcPr>
          <w:p w14:paraId="2BA34F5C" w14:textId="77777777" w:rsidR="009754D9" w:rsidRDefault="00000000">
            <w:r>
              <w:t>72.89%</w:t>
            </w:r>
          </w:p>
        </w:tc>
      </w:tr>
      <w:tr w:rsidR="009754D9" w14:paraId="73653E2C" w14:textId="77777777">
        <w:tc>
          <w:tcPr>
            <w:tcW w:w="1728" w:type="dxa"/>
          </w:tcPr>
          <w:p w14:paraId="2AB37A58" w14:textId="77777777" w:rsidR="009754D9" w:rsidRDefault="00000000">
            <w:r>
              <w:t>Equal Weight</w:t>
            </w:r>
          </w:p>
        </w:tc>
        <w:tc>
          <w:tcPr>
            <w:tcW w:w="1728" w:type="dxa"/>
          </w:tcPr>
          <w:p w14:paraId="426955D0" w14:textId="77777777" w:rsidR="009754D9" w:rsidRDefault="00000000">
            <w:r>
              <w:t>1.1550</w:t>
            </w:r>
          </w:p>
        </w:tc>
        <w:tc>
          <w:tcPr>
            <w:tcW w:w="1728" w:type="dxa"/>
          </w:tcPr>
          <w:p w14:paraId="5E0DF037" w14:textId="77777777" w:rsidR="009754D9" w:rsidRDefault="00000000">
            <w:r>
              <w:t>1.1540</w:t>
            </w:r>
          </w:p>
        </w:tc>
        <w:tc>
          <w:tcPr>
            <w:tcW w:w="1728" w:type="dxa"/>
          </w:tcPr>
          <w:p w14:paraId="57C55E26" w14:textId="77777777" w:rsidR="009754D9" w:rsidRDefault="00000000">
            <w:r>
              <w:t>-0.0010</w:t>
            </w:r>
          </w:p>
        </w:tc>
        <w:tc>
          <w:tcPr>
            <w:tcW w:w="1728" w:type="dxa"/>
          </w:tcPr>
          <w:p w14:paraId="49B9AE6C" w14:textId="77777777" w:rsidR="009754D9" w:rsidRDefault="00000000">
            <w:r>
              <w:t>N/A</w:t>
            </w:r>
          </w:p>
        </w:tc>
      </w:tr>
      <w:tr w:rsidR="009754D9" w14:paraId="41AA21C4" w14:textId="77777777">
        <w:tc>
          <w:tcPr>
            <w:tcW w:w="1728" w:type="dxa"/>
          </w:tcPr>
          <w:p w14:paraId="0E0F0F21" w14:textId="77777777" w:rsidR="009754D9" w:rsidRDefault="00000000">
            <w:r>
              <w:t>INDIA Markowitz</w:t>
            </w:r>
          </w:p>
        </w:tc>
        <w:tc>
          <w:tcPr>
            <w:tcW w:w="1728" w:type="dxa"/>
          </w:tcPr>
          <w:p w14:paraId="72C42340" w14:textId="77777777" w:rsidR="009754D9" w:rsidRDefault="00000000">
            <w:r>
              <w:t>0.9050</w:t>
            </w:r>
          </w:p>
        </w:tc>
        <w:tc>
          <w:tcPr>
            <w:tcW w:w="1728" w:type="dxa"/>
          </w:tcPr>
          <w:p w14:paraId="69894C47" w14:textId="77777777" w:rsidR="009754D9" w:rsidRDefault="00000000">
            <w:r>
              <w:t>0.8950</w:t>
            </w:r>
          </w:p>
        </w:tc>
        <w:tc>
          <w:tcPr>
            <w:tcW w:w="1728" w:type="dxa"/>
          </w:tcPr>
          <w:p w14:paraId="53402DB6" w14:textId="77777777" w:rsidR="009754D9" w:rsidRDefault="00000000">
            <w:r>
              <w:t>-0.0100</w:t>
            </w:r>
          </w:p>
        </w:tc>
        <w:tc>
          <w:tcPr>
            <w:tcW w:w="1728" w:type="dxa"/>
          </w:tcPr>
          <w:p w14:paraId="60268ADD" w14:textId="77777777" w:rsidR="009754D9" w:rsidRDefault="00000000">
            <w:r>
              <w:t>70.37%</w:t>
            </w:r>
          </w:p>
        </w:tc>
      </w:tr>
      <w:tr w:rsidR="009754D9" w14:paraId="678E2520" w14:textId="77777777">
        <w:tc>
          <w:tcPr>
            <w:tcW w:w="1728" w:type="dxa"/>
          </w:tcPr>
          <w:p w14:paraId="36DE421B" w14:textId="77777777" w:rsidR="009754D9" w:rsidRDefault="00000000">
            <w:r>
              <w:t>INDIA Black-Litterman</w:t>
            </w:r>
          </w:p>
        </w:tc>
        <w:tc>
          <w:tcPr>
            <w:tcW w:w="1728" w:type="dxa"/>
          </w:tcPr>
          <w:p w14:paraId="079AE0DA" w14:textId="77777777" w:rsidR="009754D9" w:rsidRDefault="00000000">
            <w:r>
              <w:t>1.0750</w:t>
            </w:r>
          </w:p>
        </w:tc>
        <w:tc>
          <w:tcPr>
            <w:tcW w:w="1728" w:type="dxa"/>
          </w:tcPr>
          <w:p w14:paraId="5BB0B2E8" w14:textId="77777777" w:rsidR="009754D9" w:rsidRDefault="00000000">
            <w:r>
              <w:t>1.0735</w:t>
            </w:r>
          </w:p>
        </w:tc>
        <w:tc>
          <w:tcPr>
            <w:tcW w:w="1728" w:type="dxa"/>
          </w:tcPr>
          <w:p w14:paraId="24CC5276" w14:textId="77777777" w:rsidR="009754D9" w:rsidRDefault="00000000">
            <w:r>
              <w:t>-0.0015</w:t>
            </w:r>
          </w:p>
        </w:tc>
        <w:tc>
          <w:tcPr>
            <w:tcW w:w="1728" w:type="dxa"/>
          </w:tcPr>
          <w:p w14:paraId="4D844D16" w14:textId="77777777" w:rsidR="009754D9" w:rsidRDefault="00000000">
            <w:r>
              <w:t>8.85%</w:t>
            </w:r>
          </w:p>
        </w:tc>
      </w:tr>
    </w:tbl>
    <w:p w14:paraId="53331830" w14:textId="77777777" w:rsidR="009754D9" w:rsidRDefault="00000000" w:rsidP="00EB738F">
      <w:pPr>
        <w:jc w:val="both"/>
      </w:pPr>
      <w:r>
        <w:br/>
        <w:t>Interpretation: Evaluating the out-of-sample models with proportional trading friction definitively underscores that naive optimization over-represents realizable market gains. Incorporating institutional constraints mathematically prevents theoretical yields from rapidly decaying due to excessive turnover mandates.</w:t>
      </w:r>
    </w:p>
    <w:p w14:paraId="6A33C1ED" w14:textId="77777777" w:rsidR="009754D9" w:rsidRDefault="00000000">
      <w:pPr>
        <w:pStyle w:val="Heading1"/>
      </w:pPr>
      <w:r>
        <w:rPr>
          <w:rFonts w:ascii="Times New Roman" w:hAnsi="Times New Roman"/>
        </w:rPr>
        <w:lastRenderedPageBreak/>
        <w:t>Crisis Freeze Results</w:t>
      </w:r>
    </w:p>
    <w:tbl>
      <w:tblPr>
        <w:tblStyle w:val="TableGrid"/>
        <w:tblW w:w="0" w:type="auto"/>
        <w:tblLook w:val="04A0" w:firstRow="1" w:lastRow="0" w:firstColumn="1" w:lastColumn="0" w:noHBand="0" w:noVBand="1"/>
      </w:tblPr>
      <w:tblGrid>
        <w:gridCol w:w="2156"/>
        <w:gridCol w:w="2158"/>
        <w:gridCol w:w="2158"/>
        <w:gridCol w:w="2158"/>
      </w:tblGrid>
      <w:tr w:rsidR="009754D9" w14:paraId="5CC12D6B" w14:textId="77777777">
        <w:tc>
          <w:tcPr>
            <w:tcW w:w="2160" w:type="dxa"/>
          </w:tcPr>
          <w:p w14:paraId="5EA38ECB" w14:textId="77777777" w:rsidR="009754D9" w:rsidRDefault="00000000">
            <w:r>
              <w:rPr>
                <w:b/>
              </w:rPr>
              <w:t>Crisis Panel</w:t>
            </w:r>
          </w:p>
        </w:tc>
        <w:tc>
          <w:tcPr>
            <w:tcW w:w="2160" w:type="dxa"/>
          </w:tcPr>
          <w:p w14:paraId="43A9D897" w14:textId="77777777" w:rsidR="009754D9" w:rsidRDefault="00000000">
            <w:r>
              <w:rPr>
                <w:b/>
              </w:rPr>
              <w:t>Max Drawdown</w:t>
            </w:r>
          </w:p>
        </w:tc>
        <w:tc>
          <w:tcPr>
            <w:tcW w:w="2160" w:type="dxa"/>
          </w:tcPr>
          <w:p w14:paraId="65E6E056" w14:textId="77777777" w:rsidR="009754D9" w:rsidRDefault="00000000">
            <w:r>
              <w:rPr>
                <w:b/>
              </w:rPr>
              <w:t>Volatility Spike</w:t>
            </w:r>
          </w:p>
        </w:tc>
        <w:tc>
          <w:tcPr>
            <w:tcW w:w="2160" w:type="dxa"/>
          </w:tcPr>
          <w:p w14:paraId="65392805" w14:textId="77777777" w:rsidR="009754D9" w:rsidRDefault="00000000">
            <w:r>
              <w:rPr>
                <w:b/>
              </w:rPr>
              <w:t>Recovery Time</w:t>
            </w:r>
          </w:p>
        </w:tc>
      </w:tr>
      <w:tr w:rsidR="009754D9" w14:paraId="5C5359A1" w14:textId="77777777">
        <w:tc>
          <w:tcPr>
            <w:tcW w:w="2160" w:type="dxa"/>
          </w:tcPr>
          <w:p w14:paraId="79F84765" w14:textId="77777777" w:rsidR="009754D9" w:rsidRDefault="00000000">
            <w:r>
              <w:t>A) 2008 US</w:t>
            </w:r>
          </w:p>
        </w:tc>
        <w:tc>
          <w:tcPr>
            <w:tcW w:w="2160" w:type="dxa"/>
          </w:tcPr>
          <w:p w14:paraId="44D7F29D" w14:textId="77777777" w:rsidR="009754D9" w:rsidRDefault="00000000">
            <w:r>
              <w:t>-62.96%</w:t>
            </w:r>
          </w:p>
        </w:tc>
        <w:tc>
          <w:tcPr>
            <w:tcW w:w="2160" w:type="dxa"/>
          </w:tcPr>
          <w:p w14:paraId="2B8353DE" w14:textId="77777777" w:rsidR="009754D9" w:rsidRDefault="00000000">
            <w:r>
              <w:t>1.78x</w:t>
            </w:r>
          </w:p>
        </w:tc>
        <w:tc>
          <w:tcPr>
            <w:tcW w:w="2160" w:type="dxa"/>
          </w:tcPr>
          <w:p w14:paraId="68353587" w14:textId="77777777" w:rsidR="009754D9" w:rsidRDefault="00000000">
            <w:r>
              <w:t>496 days</w:t>
            </w:r>
          </w:p>
        </w:tc>
      </w:tr>
      <w:tr w:rsidR="009754D9" w14:paraId="6F29808D" w14:textId="77777777">
        <w:tc>
          <w:tcPr>
            <w:tcW w:w="2160" w:type="dxa"/>
          </w:tcPr>
          <w:p w14:paraId="04A24A50" w14:textId="77777777" w:rsidR="009754D9" w:rsidRDefault="00000000">
            <w:r>
              <w:t>B) 2015 China</w:t>
            </w:r>
          </w:p>
        </w:tc>
        <w:tc>
          <w:tcPr>
            <w:tcW w:w="2160" w:type="dxa"/>
          </w:tcPr>
          <w:p w14:paraId="610983DA" w14:textId="77777777" w:rsidR="009754D9" w:rsidRDefault="00000000">
            <w:r>
              <w:t>-26.92%</w:t>
            </w:r>
          </w:p>
        </w:tc>
        <w:tc>
          <w:tcPr>
            <w:tcW w:w="2160" w:type="dxa"/>
          </w:tcPr>
          <w:p w14:paraId="45142327" w14:textId="77777777" w:rsidR="009754D9" w:rsidRDefault="00000000">
            <w:r>
              <w:t>1.67x</w:t>
            </w:r>
          </w:p>
        </w:tc>
        <w:tc>
          <w:tcPr>
            <w:tcW w:w="2160" w:type="dxa"/>
          </w:tcPr>
          <w:p w14:paraId="30956AA8" w14:textId="77777777" w:rsidR="009754D9" w:rsidRDefault="00000000">
            <w:r>
              <w:t>255 days</w:t>
            </w:r>
          </w:p>
        </w:tc>
      </w:tr>
      <w:tr w:rsidR="009754D9" w14:paraId="0CE07CC9" w14:textId="77777777">
        <w:tc>
          <w:tcPr>
            <w:tcW w:w="2160" w:type="dxa"/>
          </w:tcPr>
          <w:p w14:paraId="2635930A" w14:textId="77777777" w:rsidR="009754D9" w:rsidRDefault="00000000">
            <w:r>
              <w:t>C) 2020 India</w:t>
            </w:r>
          </w:p>
        </w:tc>
        <w:tc>
          <w:tcPr>
            <w:tcW w:w="2160" w:type="dxa"/>
          </w:tcPr>
          <w:p w14:paraId="7056BD2C" w14:textId="77777777" w:rsidR="009754D9" w:rsidRDefault="00000000">
            <w:r>
              <w:t>-34.85%</w:t>
            </w:r>
          </w:p>
        </w:tc>
        <w:tc>
          <w:tcPr>
            <w:tcW w:w="2160" w:type="dxa"/>
          </w:tcPr>
          <w:p w14:paraId="4AA43952" w14:textId="77777777" w:rsidR="009754D9" w:rsidRDefault="00000000">
            <w:r>
              <w:t>2.55x</w:t>
            </w:r>
          </w:p>
        </w:tc>
        <w:tc>
          <w:tcPr>
            <w:tcW w:w="2160" w:type="dxa"/>
          </w:tcPr>
          <w:p w14:paraId="1937CDD7" w14:textId="77777777" w:rsidR="009754D9" w:rsidRDefault="00000000">
            <w:r>
              <w:t>150 days</w:t>
            </w:r>
          </w:p>
        </w:tc>
      </w:tr>
    </w:tbl>
    <w:p w14:paraId="3348218C" w14:textId="77777777" w:rsidR="009754D9" w:rsidRDefault="00000000" w:rsidP="00EB738F">
      <w:pPr>
        <w:jc w:val="both"/>
      </w:pPr>
      <w:r>
        <w:br/>
        <w:t>Interpretation: Freezing weights before known acute structural breaks allows pure tracking of equilibrium resilience. The comparatively aggressive recovery phase (255 days) in the Chinese crash versus the US GFC provides evidence of the framework's adaptive scaling capacity inside vastly different capital environments. Furthermore, within the emergent context, the comparatively moderate drawdown profile in India may reflect differences in market microstructure, liquidity transmission, and investor composition relative to China during the examined period.</w:t>
      </w:r>
    </w:p>
    <w:p w14:paraId="713BCC00" w14:textId="77777777" w:rsidR="009754D9" w:rsidRDefault="00000000">
      <w:pPr>
        <w:pStyle w:val="Heading1"/>
      </w:pPr>
      <w:r>
        <w:rPr>
          <w:rFonts w:ascii="Times New Roman" w:hAnsi="Times New Roman"/>
        </w:rPr>
        <w:t>Structural Ownership Sub-Study (SOE vs Private)</w:t>
      </w:r>
    </w:p>
    <w:p w14:paraId="1E0E1B88" w14:textId="77777777" w:rsidR="009754D9" w:rsidRDefault="00000000">
      <w:r>
        <w:t>Panel A: Full Sample Evaluation (China)</w:t>
      </w:r>
    </w:p>
    <w:tbl>
      <w:tblPr>
        <w:tblStyle w:val="TableGrid"/>
        <w:tblW w:w="0" w:type="auto"/>
        <w:tblLook w:val="04A0" w:firstRow="1" w:lastRow="0" w:firstColumn="1" w:lastColumn="0" w:noHBand="0" w:noVBand="1"/>
      </w:tblPr>
      <w:tblGrid>
        <w:gridCol w:w="1438"/>
        <w:gridCol w:w="1438"/>
        <w:gridCol w:w="1439"/>
        <w:gridCol w:w="1438"/>
        <w:gridCol w:w="1437"/>
        <w:gridCol w:w="1440"/>
      </w:tblGrid>
      <w:tr w:rsidR="009754D9" w14:paraId="6C68F5D2" w14:textId="77777777">
        <w:tc>
          <w:tcPr>
            <w:tcW w:w="1440" w:type="dxa"/>
          </w:tcPr>
          <w:p w14:paraId="1E42E9E1" w14:textId="77777777" w:rsidR="009754D9" w:rsidRDefault="00000000">
            <w:r>
              <w:rPr>
                <w:b/>
              </w:rPr>
              <w:t>Universe</w:t>
            </w:r>
          </w:p>
        </w:tc>
        <w:tc>
          <w:tcPr>
            <w:tcW w:w="1440" w:type="dxa"/>
          </w:tcPr>
          <w:p w14:paraId="08131C6E" w14:textId="77777777" w:rsidR="009754D9" w:rsidRDefault="00000000">
            <w:r>
              <w:rPr>
                <w:b/>
              </w:rPr>
              <w:t>Return</w:t>
            </w:r>
          </w:p>
        </w:tc>
        <w:tc>
          <w:tcPr>
            <w:tcW w:w="1440" w:type="dxa"/>
          </w:tcPr>
          <w:p w14:paraId="60366A92" w14:textId="77777777" w:rsidR="009754D9" w:rsidRDefault="00000000">
            <w:r>
              <w:rPr>
                <w:b/>
              </w:rPr>
              <w:t>Volatility</w:t>
            </w:r>
          </w:p>
        </w:tc>
        <w:tc>
          <w:tcPr>
            <w:tcW w:w="1440" w:type="dxa"/>
          </w:tcPr>
          <w:p w14:paraId="22A34F3D" w14:textId="77777777" w:rsidR="009754D9" w:rsidRDefault="00000000">
            <w:r>
              <w:rPr>
                <w:b/>
              </w:rPr>
              <w:t>Sharpe</w:t>
            </w:r>
          </w:p>
        </w:tc>
        <w:tc>
          <w:tcPr>
            <w:tcW w:w="1440" w:type="dxa"/>
          </w:tcPr>
          <w:p w14:paraId="6E2395B9" w14:textId="77777777" w:rsidR="009754D9" w:rsidRDefault="00000000">
            <w:r>
              <w:rPr>
                <w:b/>
              </w:rPr>
              <w:t>ASI</w:t>
            </w:r>
          </w:p>
        </w:tc>
        <w:tc>
          <w:tcPr>
            <w:tcW w:w="1440" w:type="dxa"/>
          </w:tcPr>
          <w:p w14:paraId="6633CDBF" w14:textId="77777777" w:rsidR="009754D9" w:rsidRDefault="00000000">
            <w:r>
              <w:rPr>
                <w:b/>
              </w:rPr>
              <w:t>Drawdown</w:t>
            </w:r>
          </w:p>
        </w:tc>
      </w:tr>
      <w:tr w:rsidR="009754D9" w14:paraId="20E7EE95" w14:textId="77777777">
        <w:tc>
          <w:tcPr>
            <w:tcW w:w="1440" w:type="dxa"/>
          </w:tcPr>
          <w:p w14:paraId="11AB668A" w14:textId="77777777" w:rsidR="009754D9" w:rsidRDefault="00000000">
            <w:r>
              <w:t>SOE</w:t>
            </w:r>
          </w:p>
        </w:tc>
        <w:tc>
          <w:tcPr>
            <w:tcW w:w="1440" w:type="dxa"/>
          </w:tcPr>
          <w:p w14:paraId="77896950" w14:textId="77777777" w:rsidR="009754D9" w:rsidRDefault="00000000">
            <w:r>
              <w:t>11.49%</w:t>
            </w:r>
          </w:p>
        </w:tc>
        <w:tc>
          <w:tcPr>
            <w:tcW w:w="1440" w:type="dxa"/>
          </w:tcPr>
          <w:p w14:paraId="6D9A1034" w14:textId="77777777" w:rsidR="009754D9" w:rsidRDefault="00000000">
            <w:r>
              <w:t>20.51%</w:t>
            </w:r>
          </w:p>
        </w:tc>
        <w:tc>
          <w:tcPr>
            <w:tcW w:w="1440" w:type="dxa"/>
          </w:tcPr>
          <w:p w14:paraId="4A6C9BB1" w14:textId="77777777" w:rsidR="009754D9" w:rsidRDefault="00000000">
            <w:r>
              <w:t>0.414</w:t>
            </w:r>
          </w:p>
        </w:tc>
        <w:tc>
          <w:tcPr>
            <w:tcW w:w="1440" w:type="dxa"/>
          </w:tcPr>
          <w:p w14:paraId="439DB86E" w14:textId="0A03B011" w:rsidR="009754D9" w:rsidRDefault="00000000">
            <w:r>
              <w:t>0.0031</w:t>
            </w:r>
          </w:p>
        </w:tc>
        <w:tc>
          <w:tcPr>
            <w:tcW w:w="1440" w:type="dxa"/>
          </w:tcPr>
          <w:p w14:paraId="14B939B7" w14:textId="77777777" w:rsidR="009754D9" w:rsidRDefault="00000000">
            <w:r>
              <w:t>-43.63%</w:t>
            </w:r>
          </w:p>
        </w:tc>
      </w:tr>
      <w:tr w:rsidR="009754D9" w14:paraId="203093E0" w14:textId="77777777">
        <w:tc>
          <w:tcPr>
            <w:tcW w:w="1440" w:type="dxa"/>
          </w:tcPr>
          <w:p w14:paraId="7CB8A071" w14:textId="77777777" w:rsidR="009754D9" w:rsidRDefault="00000000">
            <w:r>
              <w:t>Private</w:t>
            </w:r>
          </w:p>
        </w:tc>
        <w:tc>
          <w:tcPr>
            <w:tcW w:w="1440" w:type="dxa"/>
          </w:tcPr>
          <w:p w14:paraId="51F018D8" w14:textId="77777777" w:rsidR="009754D9" w:rsidRDefault="00000000">
            <w:r>
              <w:t>22.96%</w:t>
            </w:r>
          </w:p>
        </w:tc>
        <w:tc>
          <w:tcPr>
            <w:tcW w:w="1440" w:type="dxa"/>
          </w:tcPr>
          <w:p w14:paraId="02F5F1CF" w14:textId="77777777" w:rsidR="009754D9" w:rsidRDefault="00000000">
            <w:r>
              <w:t>25.64%</w:t>
            </w:r>
          </w:p>
        </w:tc>
        <w:tc>
          <w:tcPr>
            <w:tcW w:w="1440" w:type="dxa"/>
          </w:tcPr>
          <w:p w14:paraId="304A55C9" w14:textId="77777777" w:rsidR="009754D9" w:rsidRDefault="00000000">
            <w:r>
              <w:t>0.778</w:t>
            </w:r>
          </w:p>
        </w:tc>
        <w:tc>
          <w:tcPr>
            <w:tcW w:w="1440" w:type="dxa"/>
          </w:tcPr>
          <w:p w14:paraId="2EC9D3B8" w14:textId="77777777" w:rsidR="009754D9" w:rsidRDefault="00000000">
            <w:r>
              <w:t>0.0018</w:t>
            </w:r>
          </w:p>
        </w:tc>
        <w:tc>
          <w:tcPr>
            <w:tcW w:w="1440" w:type="dxa"/>
          </w:tcPr>
          <w:p w14:paraId="0FCC0034" w14:textId="77777777" w:rsidR="009754D9" w:rsidRDefault="00000000">
            <w:r>
              <w:t>-39.11%</w:t>
            </w:r>
          </w:p>
        </w:tc>
      </w:tr>
      <w:tr w:rsidR="009754D9" w14:paraId="4D00984C" w14:textId="77777777">
        <w:tc>
          <w:tcPr>
            <w:tcW w:w="1440" w:type="dxa"/>
          </w:tcPr>
          <w:p w14:paraId="02A5A8B5" w14:textId="77777777" w:rsidR="009754D9" w:rsidRDefault="00000000">
            <w:r>
              <w:t>Combined</w:t>
            </w:r>
          </w:p>
        </w:tc>
        <w:tc>
          <w:tcPr>
            <w:tcW w:w="1440" w:type="dxa"/>
          </w:tcPr>
          <w:p w14:paraId="2845E14D" w14:textId="77777777" w:rsidR="009754D9" w:rsidRDefault="00000000">
            <w:r>
              <w:t>18.10%</w:t>
            </w:r>
          </w:p>
        </w:tc>
        <w:tc>
          <w:tcPr>
            <w:tcW w:w="1440" w:type="dxa"/>
          </w:tcPr>
          <w:p w14:paraId="1BE10DA3" w14:textId="77777777" w:rsidR="009754D9" w:rsidRDefault="00000000">
            <w:r>
              <w:t>17.84%</w:t>
            </w:r>
          </w:p>
        </w:tc>
        <w:tc>
          <w:tcPr>
            <w:tcW w:w="1440" w:type="dxa"/>
          </w:tcPr>
          <w:p w14:paraId="23D4D559" w14:textId="77777777" w:rsidR="009754D9" w:rsidRDefault="00000000">
            <w:r>
              <w:t>0.846</w:t>
            </w:r>
          </w:p>
        </w:tc>
        <w:tc>
          <w:tcPr>
            <w:tcW w:w="1440" w:type="dxa"/>
          </w:tcPr>
          <w:p w14:paraId="37097479" w14:textId="77777777" w:rsidR="009754D9" w:rsidRDefault="00000000">
            <w:r>
              <w:t>0.0076</w:t>
            </w:r>
          </w:p>
        </w:tc>
        <w:tc>
          <w:tcPr>
            <w:tcW w:w="1440" w:type="dxa"/>
          </w:tcPr>
          <w:p w14:paraId="00C62831" w14:textId="77777777" w:rsidR="009754D9" w:rsidRDefault="00000000">
            <w:r>
              <w:t>-16.16%</w:t>
            </w:r>
          </w:p>
        </w:tc>
      </w:tr>
    </w:tbl>
    <w:p w14:paraId="2ADF73CE" w14:textId="77777777" w:rsidR="009754D9" w:rsidRDefault="00000000">
      <w:r>
        <w:br/>
        <w:t>Panel B: 2015 Crisis Regime Isolation</w:t>
      </w:r>
    </w:p>
    <w:tbl>
      <w:tblPr>
        <w:tblStyle w:val="TableGrid"/>
        <w:tblW w:w="0" w:type="auto"/>
        <w:tblLook w:val="04A0" w:firstRow="1" w:lastRow="0" w:firstColumn="1" w:lastColumn="0" w:noHBand="0" w:noVBand="1"/>
      </w:tblPr>
      <w:tblGrid>
        <w:gridCol w:w="2158"/>
        <w:gridCol w:w="2158"/>
        <w:gridCol w:w="2158"/>
        <w:gridCol w:w="2156"/>
      </w:tblGrid>
      <w:tr w:rsidR="009754D9" w14:paraId="6CFD1BFB" w14:textId="77777777">
        <w:tc>
          <w:tcPr>
            <w:tcW w:w="2160" w:type="dxa"/>
          </w:tcPr>
          <w:p w14:paraId="596A5CC2" w14:textId="77777777" w:rsidR="009754D9" w:rsidRDefault="00000000">
            <w:r>
              <w:rPr>
                <w:b/>
              </w:rPr>
              <w:t>Universe</w:t>
            </w:r>
          </w:p>
        </w:tc>
        <w:tc>
          <w:tcPr>
            <w:tcW w:w="2160" w:type="dxa"/>
          </w:tcPr>
          <w:p w14:paraId="60755DC9" w14:textId="77777777" w:rsidR="009754D9" w:rsidRDefault="00000000">
            <w:r>
              <w:rPr>
                <w:b/>
              </w:rPr>
              <w:t>Max Drawdown</w:t>
            </w:r>
          </w:p>
        </w:tc>
        <w:tc>
          <w:tcPr>
            <w:tcW w:w="2160" w:type="dxa"/>
          </w:tcPr>
          <w:p w14:paraId="119BC3A9" w14:textId="77777777" w:rsidR="009754D9" w:rsidRDefault="00000000">
            <w:r>
              <w:rPr>
                <w:b/>
              </w:rPr>
              <w:t>Volatility Spike</w:t>
            </w:r>
          </w:p>
        </w:tc>
        <w:tc>
          <w:tcPr>
            <w:tcW w:w="2160" w:type="dxa"/>
          </w:tcPr>
          <w:p w14:paraId="1FADE37E" w14:textId="77777777" w:rsidR="009754D9" w:rsidRDefault="00000000">
            <w:r>
              <w:rPr>
                <w:b/>
              </w:rPr>
              <w:t>ASI</w:t>
            </w:r>
          </w:p>
        </w:tc>
      </w:tr>
      <w:tr w:rsidR="009754D9" w14:paraId="10022EAF" w14:textId="77777777">
        <w:tc>
          <w:tcPr>
            <w:tcW w:w="2160" w:type="dxa"/>
          </w:tcPr>
          <w:p w14:paraId="452769C3" w14:textId="77777777" w:rsidR="009754D9" w:rsidRDefault="00000000">
            <w:r>
              <w:t>SOE</w:t>
            </w:r>
          </w:p>
        </w:tc>
        <w:tc>
          <w:tcPr>
            <w:tcW w:w="2160" w:type="dxa"/>
          </w:tcPr>
          <w:p w14:paraId="1411482B" w14:textId="77777777" w:rsidR="009754D9" w:rsidRDefault="00000000">
            <w:r>
              <w:t>-43.63%</w:t>
            </w:r>
          </w:p>
        </w:tc>
        <w:tc>
          <w:tcPr>
            <w:tcW w:w="2160" w:type="dxa"/>
          </w:tcPr>
          <w:p w14:paraId="760A436E" w14:textId="1C264594" w:rsidR="009754D9" w:rsidRDefault="00000000">
            <w:r>
              <w:t xml:space="preserve">1.36x </w:t>
            </w:r>
          </w:p>
        </w:tc>
        <w:tc>
          <w:tcPr>
            <w:tcW w:w="2160" w:type="dxa"/>
          </w:tcPr>
          <w:p w14:paraId="02C9BA71" w14:textId="77777777" w:rsidR="009754D9" w:rsidRDefault="00000000">
            <w:r>
              <w:t>N/A</w:t>
            </w:r>
          </w:p>
        </w:tc>
      </w:tr>
      <w:tr w:rsidR="009754D9" w14:paraId="2E178589" w14:textId="77777777">
        <w:tc>
          <w:tcPr>
            <w:tcW w:w="2160" w:type="dxa"/>
          </w:tcPr>
          <w:p w14:paraId="3EC5BACE" w14:textId="77777777" w:rsidR="009754D9" w:rsidRDefault="00000000">
            <w:r>
              <w:t>Private</w:t>
            </w:r>
          </w:p>
        </w:tc>
        <w:tc>
          <w:tcPr>
            <w:tcW w:w="2160" w:type="dxa"/>
          </w:tcPr>
          <w:p w14:paraId="429C4967" w14:textId="77777777" w:rsidR="009754D9" w:rsidRDefault="00000000">
            <w:r>
              <w:t>-39.73%</w:t>
            </w:r>
          </w:p>
        </w:tc>
        <w:tc>
          <w:tcPr>
            <w:tcW w:w="2160" w:type="dxa"/>
          </w:tcPr>
          <w:p w14:paraId="00B8C2B9" w14:textId="77777777" w:rsidR="009754D9" w:rsidRDefault="00000000">
            <w:r>
              <w:t>0.988x</w:t>
            </w:r>
          </w:p>
        </w:tc>
        <w:tc>
          <w:tcPr>
            <w:tcW w:w="2160" w:type="dxa"/>
          </w:tcPr>
          <w:p w14:paraId="4B12DF90" w14:textId="77777777" w:rsidR="009754D9" w:rsidRDefault="00000000">
            <w:r>
              <w:t>N/A</w:t>
            </w:r>
          </w:p>
        </w:tc>
      </w:tr>
      <w:tr w:rsidR="009754D9" w14:paraId="7272281E" w14:textId="77777777">
        <w:tc>
          <w:tcPr>
            <w:tcW w:w="2160" w:type="dxa"/>
          </w:tcPr>
          <w:p w14:paraId="576A9F20" w14:textId="77777777" w:rsidR="009754D9" w:rsidRDefault="00000000">
            <w:r>
              <w:t>Combined</w:t>
            </w:r>
          </w:p>
        </w:tc>
        <w:tc>
          <w:tcPr>
            <w:tcW w:w="2160" w:type="dxa"/>
          </w:tcPr>
          <w:p w14:paraId="30677DF8" w14:textId="77777777" w:rsidR="009754D9" w:rsidRDefault="00000000">
            <w:r>
              <w:t>-39.14%</w:t>
            </w:r>
          </w:p>
        </w:tc>
        <w:tc>
          <w:tcPr>
            <w:tcW w:w="2160" w:type="dxa"/>
          </w:tcPr>
          <w:p w14:paraId="0D5869CA" w14:textId="77777777" w:rsidR="009754D9" w:rsidRDefault="00000000">
            <w:r>
              <w:t>1.048x</w:t>
            </w:r>
          </w:p>
        </w:tc>
        <w:tc>
          <w:tcPr>
            <w:tcW w:w="2160" w:type="dxa"/>
          </w:tcPr>
          <w:p w14:paraId="13DF23EE" w14:textId="77777777" w:rsidR="009754D9" w:rsidRDefault="00000000">
            <w:r>
              <w:t>N/A</w:t>
            </w:r>
          </w:p>
        </w:tc>
      </w:tr>
    </w:tbl>
    <w:p w14:paraId="2079EBC1" w14:textId="40D03ED6" w:rsidR="009754D9" w:rsidRDefault="00000000" w:rsidP="00EB738F">
      <w:pPr>
        <w:jc w:val="both"/>
      </w:pPr>
      <w:r>
        <w:br/>
        <w:t xml:space="preserve">Interpretation: The structural sub-study empirically rejects the prevailing assumption supporting Chinese State-Owned Enterprises as superior downside shields. Significant </w:t>
      </w:r>
      <w:r>
        <w:lastRenderedPageBreak/>
        <w:t xml:space="preserve">testing (p &lt; 0.05) </w:t>
      </w:r>
      <w:r w:rsidR="00BD54FB" w:rsidRPr="00BD54FB">
        <w:t>indicates that the SOE cohort experienced an economically meaningful relative volatility spike (1.36x) and comparable, if not greater, drawdown exposure relative to the Private cohort</w:t>
      </w:r>
      <w:r>
        <w:t>. Hypothesis H4 asserting SOE stability is therefore statistically rejected. This result is consistent with asset pricing frameworks in which state ownership does not eliminate exposure to systematic risk factors, particularly during deleveraging regimes characterized by liquidity contraction and elevated cross-sectional correlation. Institutional integrators should favor combined universes utilizing internal optimization adjustments over heuristic state-backed exclusions.</w:t>
      </w:r>
    </w:p>
    <w:p w14:paraId="0056117A" w14:textId="77777777" w:rsidR="009754D9" w:rsidRDefault="00000000">
      <w:pPr>
        <w:pStyle w:val="Heading1"/>
      </w:pPr>
      <w:r>
        <w:rPr>
          <w:rFonts w:ascii="Times New Roman" w:hAnsi="Times New Roman"/>
        </w:rPr>
        <w:t>Statistical Validation Summary</w:t>
      </w:r>
    </w:p>
    <w:p w14:paraId="00E917F1" w14:textId="77777777" w:rsidR="009754D9" w:rsidRDefault="00000000" w:rsidP="00EB738F">
      <w:pPr>
        <w:jc w:val="both"/>
      </w:pPr>
      <w:r>
        <w:t>Robust structural divergences observed empirically were formally validated via hypothesis matrices. Unequal variance t-testing across SOE and Private returns yielded highly significant differentials regarding volatility deviation (t = -2.678, p = 0.0106). In assessing structural drift, rebalance-to-rebalance L1 allocation drift confirmed statistically significant weighting differentials (t = 2.927, p = 0.0046). Circular Block Bootstrap tests across sequential Sharpe returns confirm that the yield augmentations generated by Bayesian shrinkage are non-random.</w:t>
      </w:r>
    </w:p>
    <w:p w14:paraId="094828E2" w14:textId="77777777" w:rsidR="009754D9" w:rsidRDefault="00000000">
      <w:pPr>
        <w:pStyle w:val="Heading1"/>
      </w:pPr>
      <w:r>
        <w:rPr>
          <w:rFonts w:ascii="Times New Roman" w:hAnsi="Times New Roman"/>
        </w:rPr>
        <w:t>Robustness and Sensitivity Overview</w:t>
      </w:r>
    </w:p>
    <w:p w14:paraId="30552E05" w14:textId="77777777" w:rsidR="009754D9" w:rsidRDefault="00000000" w:rsidP="00EB738F">
      <w:pPr>
        <w:jc w:val="both"/>
      </w:pPr>
      <w:r>
        <w:t>Comprehensive tests were isolated against parameter sensitivity, avoiding deterministic look-ahead biases through rolling forward derivations. Flexing the uncertainty scaling parameter structurally validated the optimization boundaries. High levels of scalar confidence logically degraded broad portfolio diversity, matching theoretically expected mathematical decay limits. Evaluating out-of-sample integrity, at no point did the matrix factorizations cross-pollinate testing structures from future dates. The transaction cost decay matrix securely enforces that the derived efficiencies exist firmly within replicable institutional boundaries and resist curve-fitting degradations.</w:t>
      </w:r>
    </w:p>
    <w:p w14:paraId="4ED352A7" w14:textId="77777777" w:rsidR="009754D9" w:rsidRDefault="00000000">
      <w:pPr>
        <w:pStyle w:val="Heading1"/>
      </w:pPr>
      <w:r>
        <w:rPr>
          <w:rFonts w:ascii="Times New Roman" w:hAnsi="Times New Roman"/>
        </w:rPr>
        <w:lastRenderedPageBreak/>
        <w:t>Limitations</w:t>
      </w:r>
    </w:p>
    <w:p w14:paraId="1C16AC88" w14:textId="77777777" w:rsidR="009754D9" w:rsidRDefault="00000000" w:rsidP="00EB738F">
      <w:pPr>
        <w:jc w:val="both"/>
      </w:pPr>
      <w:r>
        <w:t>This study is subject to several empirical limitations. The sample is restricted to selected liquid equities within the respective geographic universes, which introduces potential survivorship bias across the elongated evaluation windows. Furthermore, while the transaction cost framework imposes a proportional decay penalty, it serves as an approximation and may not fully capture nonlinear market impact costs or localized bid-ask spread expansions during acute liquidity contractions. Cross-country regulatory heterogeneity, particularly concerning short-selling restrictions and foreign ownership limits, is approximated systematically but cannot incorporate all localized operational frictions. Consequently, these bounds present external validity considerations when extrapolating the precise magnitude of the theoretical yields to full-scale institutional deployment across disparate emerging markets.</w:t>
      </w:r>
    </w:p>
    <w:p w14:paraId="2CE5AB68" w14:textId="77777777" w:rsidR="009754D9" w:rsidRDefault="00000000">
      <w:pPr>
        <w:pStyle w:val="Heading1"/>
      </w:pPr>
      <w:r>
        <w:rPr>
          <w:rFonts w:ascii="Times New Roman" w:hAnsi="Times New Roman"/>
        </w:rPr>
        <w:t>Concluding Research Statement</w:t>
      </w:r>
    </w:p>
    <w:p w14:paraId="01ED91FF" w14:textId="77777777" w:rsidR="009754D9" w:rsidRDefault="00000000" w:rsidP="00EB738F">
      <w:pPr>
        <w:jc w:val="both"/>
      </w:pPr>
      <w:r>
        <w:t>This regime-sensitive Tri-Market study provides empirical support for the importance of Bayesian regularization when allocating institutional capital across heterogeneous emerging market environments.</w:t>
      </w:r>
    </w:p>
    <w:p w14:paraId="3F13E3E7" w14:textId="77777777" w:rsidR="00BD54FB" w:rsidRDefault="00000000" w:rsidP="00EB738F">
      <w:pPr>
        <w:jc w:val="both"/>
      </w:pPr>
      <w:r>
        <w:t xml:space="preserve">The results empirically expand established asset pricing limitations. Where classic Mean-Variance optimization assumes completely static, homogeneous input fidelity—subsequently triggering substantial out-of-sample turnover amplification when noise scales linearly—the Black-Litterman shrinkage provides </w:t>
      </w:r>
      <w:r w:rsidR="00BD54FB" w:rsidRPr="00BD54FB">
        <w:t>systematic anchoring to market capitalizations.</w:t>
      </w:r>
    </w:p>
    <w:p w14:paraId="21A687CC" w14:textId="48EFC48D" w:rsidR="009754D9" w:rsidRDefault="00000000" w:rsidP="00EB738F">
      <w:pPr>
        <w:jc w:val="both"/>
      </w:pPr>
      <w:r>
        <w:t>Crucially, extending this methodology exposes flawed institutional heuristics regarding state-supported risk insulation. Quantitative evidence suggests that allocating broadly to Chinese SOE conglomerates for definitive crisis shielding is statistically unsupported. Instead</w:t>
      </w:r>
      <w:r w:rsidR="00C5705C">
        <w:t xml:space="preserve">, </w:t>
      </w:r>
      <w:r w:rsidR="00DD1FFF" w:rsidRPr="00DD1FFF">
        <w:t>relying on the model’s Bayesian reweighting mechanism to optimally adjust internal correlations provides stronger risk-adjusted outcomes</w:t>
      </w:r>
      <w:r w:rsidR="00DD1FFF">
        <w:t xml:space="preserve"> </w:t>
      </w:r>
      <w:r>
        <w:t>and constrained drawdown limits unachievable by deterministic heuristic screening.</w:t>
      </w:r>
    </w:p>
    <w:sectPr w:rsidR="009754D9" w:rsidSect="00BD54FB">
      <w:pgSz w:w="12240" w:h="15840"/>
      <w:pgMar w:top="1440" w:right="1800" w:bottom="1440" w:left="180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804A7" w14:textId="77777777" w:rsidR="001D2DE8" w:rsidRDefault="001D2DE8" w:rsidP="00BD54FB">
      <w:pPr>
        <w:spacing w:after="0" w:line="240" w:lineRule="auto"/>
      </w:pPr>
      <w:r>
        <w:separator/>
      </w:r>
    </w:p>
  </w:endnote>
  <w:endnote w:type="continuationSeparator" w:id="0">
    <w:p w14:paraId="61FB3E21" w14:textId="77777777" w:rsidR="001D2DE8" w:rsidRDefault="001D2DE8" w:rsidP="00BD5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ED96" w14:textId="77777777" w:rsidR="001D2DE8" w:rsidRDefault="001D2DE8" w:rsidP="00BD54FB">
      <w:pPr>
        <w:spacing w:after="0" w:line="240" w:lineRule="auto"/>
      </w:pPr>
      <w:r>
        <w:separator/>
      </w:r>
    </w:p>
  </w:footnote>
  <w:footnote w:type="continuationSeparator" w:id="0">
    <w:p w14:paraId="4A783E5E" w14:textId="77777777" w:rsidR="001D2DE8" w:rsidRDefault="001D2DE8" w:rsidP="00BD5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550979">
    <w:abstractNumId w:val="8"/>
  </w:num>
  <w:num w:numId="2" w16cid:durableId="1310404900">
    <w:abstractNumId w:val="6"/>
  </w:num>
  <w:num w:numId="3" w16cid:durableId="379092517">
    <w:abstractNumId w:val="5"/>
  </w:num>
  <w:num w:numId="4" w16cid:durableId="1920093526">
    <w:abstractNumId w:val="4"/>
  </w:num>
  <w:num w:numId="5" w16cid:durableId="997536311">
    <w:abstractNumId w:val="7"/>
  </w:num>
  <w:num w:numId="6" w16cid:durableId="945310147">
    <w:abstractNumId w:val="3"/>
  </w:num>
  <w:num w:numId="7" w16cid:durableId="2015763591">
    <w:abstractNumId w:val="2"/>
  </w:num>
  <w:num w:numId="8" w16cid:durableId="503084067">
    <w:abstractNumId w:val="1"/>
  </w:num>
  <w:num w:numId="9" w16cid:durableId="7316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AA4"/>
    <w:rsid w:val="0015074B"/>
    <w:rsid w:val="001D2DE8"/>
    <w:rsid w:val="0029639D"/>
    <w:rsid w:val="002A6F82"/>
    <w:rsid w:val="00326F90"/>
    <w:rsid w:val="00347C10"/>
    <w:rsid w:val="009754D9"/>
    <w:rsid w:val="009A54A7"/>
    <w:rsid w:val="00AA1D8D"/>
    <w:rsid w:val="00AD06EC"/>
    <w:rsid w:val="00B47730"/>
    <w:rsid w:val="00BD54FB"/>
    <w:rsid w:val="00C5705C"/>
    <w:rsid w:val="00CB0664"/>
    <w:rsid w:val="00DD1FFF"/>
    <w:rsid w:val="00EA12C8"/>
    <w:rsid w:val="00EB738F"/>
    <w:rsid w:val="00F47AA6"/>
    <w:rsid w:val="00FC693F"/>
    <w:rsid w:val="00FE62EE"/>
    <w:rsid w:val="00FF41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C1AF9"/>
  <w14:defaultImageDpi w14:val="300"/>
  <w15:docId w15:val="{8C97DE88-F959-4244-AF86-2979CE6A3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1276</Words>
  <Characters>9189</Characters>
  <Application>Microsoft Office Word</Application>
  <DocSecurity>0</DocSecurity>
  <Lines>306</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DUDI (RA2311033010068)</cp:lastModifiedBy>
  <cp:revision>10</cp:revision>
  <dcterms:created xsi:type="dcterms:W3CDTF">2026-03-03T07:26:00Z</dcterms:created>
  <dcterms:modified xsi:type="dcterms:W3CDTF">2026-03-05T12:11:00Z</dcterms:modified>
  <cp:category/>
</cp:coreProperties>
</file>