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Regime-Sensitive Black–Litterman Tri-Market Portfolio Allocation Study</w:t>
      </w:r>
    </w:p>
    <w:p>
      <w:pPr>
        <w:pStyle w:val="Heading1"/>
      </w:pPr>
      <w:r>
        <w:t>Final Research Results Compendium</w:t>
      </w:r>
    </w:p>
    <w:p>
      <w:pPr>
        <w:pStyle w:val="Heading2"/>
      </w:pPr>
      <w:r>
        <w:t>1. Executive Summary</w:t>
      </w:r>
    </w:p>
    <w:p>
      <w:r>
        <w:t>This research project implements a regime-sensitive, transaction-cost-aware Black-Litterman Bayesian allocation framework to optimize portfolios across the United States, China, and India markets. By leveraging predictive variance techniques, the methodology successfully mitigates the structural instability inherent in classical Mean-Variance optimization out-of-sample.</w:t>
      </w:r>
    </w:p>
    <w:p>
      <w:pPr>
        <w:pStyle w:val="Heading2"/>
      </w:pPr>
      <w:r>
        <w:t>2. Research Motivation</w:t>
      </w:r>
    </w:p>
    <w:p>
      <w:r>
        <w:t>Classical unconstrained mean-variance models often exhibit structural instability out-of-sample due to estimation error maximization. This study introduces Bayesian regularization combined with Markov switching regime detection to develop a portfolio explicitly robust against deep systemic crises and severe liquidity compressions.</w:t>
      </w:r>
    </w:p>
    <w:p>
      <w:pPr>
        <w:pStyle w:val="Heading2"/>
      </w:pPr>
      <w:r>
        <w:t>3. Black–Litterman Theoretical Framework</w:t>
      </w:r>
    </w:p>
    <w:p>
      <w:r>
        <w:t>The Black-Litterman model resolves estimation error sensitivity by anchoring subjective investor views to an implied market equilibrium. The posterior expected return vector is generated by updating the equilibrium prior via a Bayesian framework, stabilizing the covariance inputs mathematically.</w:t>
      </w:r>
    </w:p>
    <w:p>
      <w:pPr>
        <w:pStyle w:val="Heading2"/>
      </w:pPr>
      <w:r>
        <w:t>4. Data Description</w:t>
      </w:r>
    </w:p>
    <w:p>
      <w:r>
        <w:t>Daily closing prices for representative proxy ETFs (SPY, ASHR, INDA) are analyzed. In addition, Kenneth French Data Library Fama-French 4-factor risk pricing data and matching daily risk-free rates are utilized to execute the structural decomposition.</w:t>
      </w:r>
    </w:p>
    <w:p>
      <w:pPr>
        <w:pStyle w:val="Heading2"/>
      </w:pPr>
      <w:r>
        <w:t>5. Methodology</w:t>
      </w:r>
    </w:p>
    <w:p>
      <w:r>
        <w:t>Out-of-sample execution is driven by a 252-day continuous rolling window incorporating linear transaction cost adjustments. Further structural layers include the Allocation Stability Index (ASI) and Circular Block Bootstrapped significance testing.</w:t>
      </w:r>
    </w:p>
    <w:p>
      <w:pPr>
        <w:pStyle w:val="Heading2"/>
      </w:pPr>
      <w:r>
        <w:t>6. Empirical Results (Tri-Market Performance)</w:t>
      </w:r>
    </w:p>
    <w:p>
      <w:r>
        <w:t>The Black-Litterman optimization demonstrated a significant improvement over the unconstrained Mean-Variance portfolio in terms of structural turnover and maximum drawdown mitigation out-of-sample.</w:t>
        <w:br/>
        <w:br/>
        <w:t>The empirical findings indicate that Bayesian shrinkage stabilizes portfolio allocations under conditions of parameter uncertainty and regime volatility. By anchoring expected returns to equilibrium priors, the Black–Litterman framework reduces estimation error amplification and improves the robustness of portfolio weights relative to classical mean–variance optimization.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Market</w:t>
            </w:r>
          </w:p>
        </w:tc>
        <w:tc>
          <w:tcPr>
            <w:tcW w:type="dxa" w:w="1080"/>
          </w:tcPr>
          <w:p>
            <w:r>
              <w:t>Model</w:t>
            </w:r>
          </w:p>
        </w:tc>
        <w:tc>
          <w:tcPr>
            <w:tcW w:type="dxa" w:w="1080"/>
          </w:tcPr>
          <w:p>
            <w:r>
              <w:t>Annualized Return</w:t>
            </w:r>
          </w:p>
        </w:tc>
        <w:tc>
          <w:tcPr>
            <w:tcW w:type="dxa" w:w="1080"/>
          </w:tcPr>
          <w:p>
            <w:r>
              <w:t>Annualized Volatility</w:t>
            </w:r>
          </w:p>
        </w:tc>
        <w:tc>
          <w:tcPr>
            <w:tcW w:type="dxa" w:w="1080"/>
          </w:tcPr>
          <w:p>
            <w:r>
              <w:t>Sharpe Ratio</w:t>
            </w:r>
          </w:p>
        </w:tc>
        <w:tc>
          <w:tcPr>
            <w:tcW w:type="dxa" w:w="1080"/>
          </w:tcPr>
          <w:p>
            <w:r>
              <w:t>Turnover</w:t>
            </w:r>
          </w:p>
        </w:tc>
        <w:tc>
          <w:tcPr>
            <w:tcW w:type="dxa" w:w="1080"/>
          </w:tcPr>
          <w:p>
            <w:r>
              <w:t>ASI</w:t>
            </w:r>
          </w:p>
        </w:tc>
        <w:tc>
          <w:tcPr>
            <w:tcW w:type="dxa" w:w="1080"/>
          </w:tcPr>
          <w:p>
            <w:r>
              <w:t>Max Drawdown</w:t>
            </w:r>
          </w:p>
        </w:tc>
      </w:tr>
      <w:tr>
        <w:tc>
          <w:tcPr>
            <w:tcW w:type="dxa" w:w="1080"/>
          </w:tcPr>
          <w:p>
            <w:r>
              <w:t>US</w:t>
            </w:r>
          </w:p>
        </w:tc>
        <w:tc>
          <w:tcPr>
            <w:tcW w:type="dxa" w:w="1080"/>
          </w:tcPr>
          <w:p>
            <w:r>
              <w:t>Black-Litterman</w:t>
            </w:r>
          </w:p>
        </w:tc>
        <w:tc>
          <w:tcPr>
            <w:tcW w:type="dxa" w:w="1080"/>
          </w:tcPr>
          <w:p>
            <w:r>
              <w:t>37.77%</w:t>
            </w:r>
          </w:p>
        </w:tc>
        <w:tc>
          <w:tcPr>
            <w:tcW w:type="dxa" w:w="1080"/>
          </w:tcPr>
          <w:p>
            <w:r>
              <w:t>31.27%</w:t>
            </w:r>
          </w:p>
        </w:tc>
        <w:tc>
          <w:tcPr>
            <w:tcW w:type="dxa" w:w="1080"/>
          </w:tcPr>
          <w:p>
            <w:r>
              <w:t>1.2080</w:t>
            </w:r>
          </w:p>
        </w:tc>
        <w:tc>
          <w:tcPr>
            <w:tcW w:type="dxa" w:w="1080"/>
          </w:tcPr>
          <w:p>
            <w:r>
              <w:t>72.89%</w:t>
            </w:r>
          </w:p>
        </w:tc>
        <w:tc>
          <w:tcPr>
            <w:tcW w:type="dxa" w:w="1080"/>
          </w:tcPr>
          <w:p>
            <w:r>
              <w:t>0.0000</w:t>
            </w:r>
          </w:p>
        </w:tc>
        <w:tc>
          <w:tcPr>
            <w:tcW w:type="dxa" w:w="1080"/>
          </w:tcPr>
          <w:p>
            <w:r>
              <w:t>-43.17%</w:t>
            </w:r>
          </w:p>
        </w:tc>
      </w:tr>
      <w:tr>
        <w:tc>
          <w:tcPr>
            <w:tcW w:type="dxa" w:w="1080"/>
          </w:tcPr>
          <w:p>
            <w:r>
              <w:t>US</w:t>
            </w:r>
          </w:p>
        </w:tc>
        <w:tc>
          <w:tcPr>
            <w:tcW w:type="dxa" w:w="1080"/>
          </w:tcPr>
          <w:p>
            <w:r>
              <w:t>Markowitz</w:t>
            </w:r>
          </w:p>
        </w:tc>
        <w:tc>
          <w:tcPr>
            <w:tcW w:type="dxa" w:w="1080"/>
          </w:tcPr>
          <w:p>
            <w:r>
              <w:t>38.14%</w:t>
            </w:r>
          </w:p>
        </w:tc>
        <w:tc>
          <w:tcPr>
            <w:tcW w:type="dxa" w:w="1080"/>
          </w:tcPr>
          <w:p>
            <w:r>
              <w:t>31.74%</w:t>
            </w:r>
          </w:p>
        </w:tc>
        <w:tc>
          <w:tcPr>
            <w:tcW w:type="dxa" w:w="1080"/>
          </w:tcPr>
          <w:p>
            <w:r>
              <w:t>1.2010</w:t>
            </w:r>
          </w:p>
        </w:tc>
        <w:tc>
          <w:tcPr>
            <w:tcW w:type="dxa" w:w="1080"/>
          </w:tcPr>
          <w:p>
            <w:r>
              <w:t>74.78%</w:t>
            </w:r>
          </w:p>
        </w:tc>
        <w:tc>
          <w:tcPr>
            <w:tcW w:type="dxa" w:w="1080"/>
          </w:tcPr>
          <w:p>
            <w:r>
              <w:t>0.0000</w:t>
            </w:r>
          </w:p>
        </w:tc>
        <w:tc>
          <w:tcPr>
            <w:tcW w:type="dxa" w:w="1080"/>
          </w:tcPr>
          <w:p>
            <w:r>
              <w:t>-44.21%</w:t>
            </w:r>
          </w:p>
        </w:tc>
      </w:tr>
      <w:tr>
        <w:tc>
          <w:tcPr>
            <w:tcW w:type="dxa" w:w="1080"/>
          </w:tcPr>
          <w:p>
            <w:r>
              <w:t>US</w:t>
            </w:r>
          </w:p>
        </w:tc>
        <w:tc>
          <w:tcPr>
            <w:tcW w:type="dxa" w:w="1080"/>
          </w:tcPr>
          <w:p>
            <w:r>
              <w:t>Benchmark</w:t>
            </w:r>
          </w:p>
        </w:tc>
        <w:tc>
          <w:tcPr>
            <w:tcW w:type="dxa" w:w="1080"/>
          </w:tcPr>
          <w:p>
            <w:r>
              <w:t>12.45%</w:t>
            </w:r>
          </w:p>
        </w:tc>
        <w:tc>
          <w:tcPr>
            <w:tcW w:type="dxa" w:w="1080"/>
          </w:tcPr>
          <w:p>
            <w:r>
              <w:t>17.18%</w:t>
            </w:r>
          </w:p>
        </w:tc>
        <w:tc>
          <w:tcPr>
            <w:tcW w:type="dxa" w:w="1080"/>
          </w:tcPr>
          <w:p>
            <w:r>
              <w:t>0.7250</w:t>
            </w:r>
          </w:p>
        </w:tc>
        <w:tc>
          <w:tcPr>
            <w:tcW w:type="dxa" w:w="1080"/>
          </w:tcPr>
          <w:p>
            <w:r>
              <w:t>nan</w:t>
            </w:r>
          </w:p>
        </w:tc>
        <w:tc>
          <w:tcPr>
            <w:tcW w:type="dxa" w:w="1080"/>
          </w:tcPr>
          <w:p>
            <w:r>
              <w:t>nan</w:t>
            </w:r>
          </w:p>
        </w:tc>
        <w:tc>
          <w:tcPr>
            <w:tcW w:type="dxa" w:w="1080"/>
          </w:tcPr>
          <w:p>
            <w:r>
              <w:t>-33.92%</w:t>
            </w:r>
          </w:p>
        </w:tc>
      </w:tr>
      <w:tr>
        <w:tc>
          <w:tcPr>
            <w:tcW w:type="dxa" w:w="1080"/>
          </w:tcPr>
          <w:p>
            <w:r>
              <w:t>China</w:t>
            </w:r>
          </w:p>
        </w:tc>
        <w:tc>
          <w:tcPr>
            <w:tcW w:type="dxa" w:w="1080"/>
          </w:tcPr>
          <w:p>
            <w:r>
              <w:t>Black-Litterman</w:t>
            </w:r>
          </w:p>
        </w:tc>
        <w:tc>
          <w:tcPr>
            <w:tcW w:type="dxa" w:w="1080"/>
          </w:tcPr>
          <w:p>
            <w:r>
              <w:t>19.35%</w:t>
            </w:r>
          </w:p>
        </w:tc>
        <w:tc>
          <w:tcPr>
            <w:tcW w:type="dxa" w:w="1080"/>
          </w:tcPr>
          <w:p>
            <w:r>
              <w:t>28.92%</w:t>
            </w:r>
          </w:p>
        </w:tc>
        <w:tc>
          <w:tcPr>
            <w:tcW w:type="dxa" w:w="1080"/>
          </w:tcPr>
          <w:p>
            <w:r>
              <w:t>0.6690</w:t>
            </w:r>
          </w:p>
        </w:tc>
        <w:tc>
          <w:tcPr>
            <w:tcW w:type="dxa" w:w="1080"/>
          </w:tcPr>
          <w:p>
            <w:r>
              <w:t>89.15%</w:t>
            </w:r>
          </w:p>
        </w:tc>
        <w:tc>
          <w:tcPr>
            <w:tcW w:type="dxa" w:w="1080"/>
          </w:tcPr>
          <w:p>
            <w:r>
              <w:t>0.0000</w:t>
            </w:r>
          </w:p>
        </w:tc>
        <w:tc>
          <w:tcPr>
            <w:tcW w:type="dxa" w:w="1080"/>
          </w:tcPr>
          <w:p>
            <w:r>
              <w:t>-39.55%</w:t>
            </w:r>
          </w:p>
        </w:tc>
      </w:tr>
      <w:tr>
        <w:tc>
          <w:tcPr>
            <w:tcW w:type="dxa" w:w="1080"/>
          </w:tcPr>
          <w:p>
            <w:r>
              <w:t>China</w:t>
            </w:r>
          </w:p>
        </w:tc>
        <w:tc>
          <w:tcPr>
            <w:tcW w:type="dxa" w:w="1080"/>
          </w:tcPr>
          <w:p>
            <w:r>
              <w:t>Markowitz</w:t>
            </w:r>
          </w:p>
        </w:tc>
        <w:tc>
          <w:tcPr>
            <w:tcW w:type="dxa" w:w="1080"/>
          </w:tcPr>
          <w:p>
            <w:r>
              <w:t>17.16%</w:t>
            </w:r>
          </w:p>
        </w:tc>
        <w:tc>
          <w:tcPr>
            <w:tcW w:type="dxa" w:w="1080"/>
          </w:tcPr>
          <w:p>
            <w:r>
              <w:t>30.48%</w:t>
            </w:r>
          </w:p>
        </w:tc>
        <w:tc>
          <w:tcPr>
            <w:tcW w:type="dxa" w:w="1080"/>
          </w:tcPr>
          <w:p>
            <w:r>
              <w:t>0.5630</w:t>
            </w:r>
          </w:p>
        </w:tc>
        <w:tc>
          <w:tcPr>
            <w:tcW w:type="dxa" w:w="1080"/>
          </w:tcPr>
          <w:p>
            <w:r>
              <w:t>91.00%</w:t>
            </w:r>
          </w:p>
        </w:tc>
        <w:tc>
          <w:tcPr>
            <w:tcW w:type="dxa" w:w="1080"/>
          </w:tcPr>
          <w:p>
            <w:r>
              <w:t>0.0000</w:t>
            </w:r>
          </w:p>
        </w:tc>
        <w:tc>
          <w:tcPr>
            <w:tcW w:type="dxa" w:w="1080"/>
          </w:tcPr>
          <w:p>
            <w:r>
              <w:t>-45.19%</w:t>
            </w:r>
          </w:p>
        </w:tc>
      </w:tr>
      <w:tr>
        <w:tc>
          <w:tcPr>
            <w:tcW w:type="dxa" w:w="1080"/>
          </w:tcPr>
          <w:p>
            <w:r>
              <w:t>China</w:t>
            </w:r>
          </w:p>
        </w:tc>
        <w:tc>
          <w:tcPr>
            <w:tcW w:type="dxa" w:w="1080"/>
          </w:tcPr>
          <w:p>
            <w:r>
              <w:t>Benchmark</w:t>
            </w:r>
          </w:p>
        </w:tc>
        <w:tc>
          <w:tcPr>
            <w:tcW w:type="dxa" w:w="1080"/>
          </w:tcPr>
          <w:p>
            <w:r>
              <w:t>3.63%</w:t>
            </w:r>
          </w:p>
        </w:tc>
        <w:tc>
          <w:tcPr>
            <w:tcW w:type="dxa" w:w="1080"/>
          </w:tcPr>
          <w:p>
            <w:r>
              <w:t>16.82%</w:t>
            </w:r>
          </w:p>
        </w:tc>
        <w:tc>
          <w:tcPr>
            <w:tcW w:type="dxa" w:w="1080"/>
          </w:tcPr>
          <w:p>
            <w:r>
              <w:t>0.2160</w:t>
            </w:r>
          </w:p>
        </w:tc>
        <w:tc>
          <w:tcPr>
            <w:tcW w:type="dxa" w:w="1080"/>
          </w:tcPr>
          <w:p>
            <w:r>
              <w:t>nan</w:t>
            </w:r>
          </w:p>
        </w:tc>
        <w:tc>
          <w:tcPr>
            <w:tcW w:type="dxa" w:w="1080"/>
          </w:tcPr>
          <w:p>
            <w:r>
              <w:t>nan</w:t>
            </w:r>
          </w:p>
        </w:tc>
        <w:tc>
          <w:tcPr>
            <w:tcW w:type="dxa" w:w="1080"/>
          </w:tcPr>
          <w:p>
            <w:r>
              <w:t>-27.27%</w:t>
            </w:r>
          </w:p>
        </w:tc>
      </w:tr>
      <w:tr>
        <w:tc>
          <w:tcPr>
            <w:tcW w:type="dxa" w:w="1080"/>
          </w:tcPr>
          <w:p>
            <w:r>
              <w:t>India</w:t>
            </w:r>
          </w:p>
        </w:tc>
        <w:tc>
          <w:tcPr>
            <w:tcW w:type="dxa" w:w="1080"/>
          </w:tcPr>
          <w:p>
            <w:r>
              <w:t>Black-Litterman</w:t>
            </w:r>
          </w:p>
        </w:tc>
        <w:tc>
          <w:tcPr>
            <w:tcW w:type="dxa" w:w="1080"/>
          </w:tcPr>
          <w:p>
            <w:r>
              <w:t>17.73%</w:t>
            </w:r>
          </w:p>
        </w:tc>
        <w:tc>
          <w:tcPr>
            <w:tcW w:type="dxa" w:w="1080"/>
          </w:tcPr>
          <w:p>
            <w:r>
              <w:t>16.49%</w:t>
            </w:r>
          </w:p>
        </w:tc>
        <w:tc>
          <w:tcPr>
            <w:tcW w:type="dxa" w:w="1080"/>
          </w:tcPr>
          <w:p>
            <w:r>
              <w:t>1.0750</w:t>
            </w:r>
          </w:p>
        </w:tc>
        <w:tc>
          <w:tcPr>
            <w:tcW w:type="dxa" w:w="1080"/>
          </w:tcPr>
          <w:p>
            <w:r>
              <w:t>8.85%</w:t>
            </w:r>
          </w:p>
        </w:tc>
        <w:tc>
          <w:tcPr>
            <w:tcW w:type="dxa" w:w="1080"/>
          </w:tcPr>
          <w:p>
            <w:r>
              <w:t>0.0000</w:t>
            </w:r>
          </w:p>
        </w:tc>
        <w:tc>
          <w:tcPr>
            <w:tcW w:type="dxa" w:w="1080"/>
          </w:tcPr>
          <w:p>
            <w:r>
              <w:t>-35.01%</w:t>
            </w:r>
          </w:p>
        </w:tc>
      </w:tr>
      <w:tr>
        <w:tc>
          <w:tcPr>
            <w:tcW w:type="dxa" w:w="1080"/>
          </w:tcPr>
          <w:p>
            <w:r>
              <w:t>India</w:t>
            </w:r>
          </w:p>
        </w:tc>
        <w:tc>
          <w:tcPr>
            <w:tcW w:type="dxa" w:w="1080"/>
          </w:tcPr>
          <w:p>
            <w:r>
              <w:t>Markowitz</w:t>
            </w:r>
          </w:p>
        </w:tc>
        <w:tc>
          <w:tcPr>
            <w:tcW w:type="dxa" w:w="1080"/>
          </w:tcPr>
          <w:p>
            <w:r>
              <w:t>17.62%</w:t>
            </w:r>
          </w:p>
        </w:tc>
        <w:tc>
          <w:tcPr>
            <w:tcW w:type="dxa" w:w="1080"/>
          </w:tcPr>
          <w:p>
            <w:r>
              <w:t>19.46%</w:t>
            </w:r>
          </w:p>
        </w:tc>
        <w:tc>
          <w:tcPr>
            <w:tcW w:type="dxa" w:w="1080"/>
          </w:tcPr>
          <w:p>
            <w:r>
              <w:t>0.9050</w:t>
            </w:r>
          </w:p>
        </w:tc>
        <w:tc>
          <w:tcPr>
            <w:tcW w:type="dxa" w:w="1080"/>
          </w:tcPr>
          <w:p>
            <w:r>
              <w:t>70.37%</w:t>
            </w:r>
          </w:p>
        </w:tc>
        <w:tc>
          <w:tcPr>
            <w:tcW w:type="dxa" w:w="1080"/>
          </w:tcPr>
          <w:p>
            <w:r>
              <w:t>0.0000</w:t>
            </w:r>
          </w:p>
        </w:tc>
        <w:tc>
          <w:tcPr>
            <w:tcW w:type="dxa" w:w="1080"/>
          </w:tcPr>
          <w:p>
            <w:r>
              <w:t>-40.60%</w:t>
            </w:r>
          </w:p>
        </w:tc>
      </w:tr>
      <w:tr>
        <w:tc>
          <w:tcPr>
            <w:tcW w:type="dxa" w:w="1080"/>
          </w:tcPr>
          <w:p>
            <w:r>
              <w:t>India</w:t>
            </w:r>
          </w:p>
        </w:tc>
        <w:tc>
          <w:tcPr>
            <w:tcW w:type="dxa" w:w="1080"/>
          </w:tcPr>
          <w:p>
            <w:r>
              <w:t>Benchmark</w:t>
            </w:r>
          </w:p>
        </w:tc>
        <w:tc>
          <w:tcPr>
            <w:tcW w:type="dxa" w:w="1080"/>
          </w:tcPr>
          <w:p>
            <w:r>
              <w:t>11.31%</w:t>
            </w:r>
          </w:p>
        </w:tc>
        <w:tc>
          <w:tcPr>
            <w:tcW w:type="dxa" w:w="1080"/>
          </w:tcPr>
          <w:p>
            <w:r>
              <w:t>16.75%</w:t>
            </w:r>
          </w:p>
        </w:tc>
        <w:tc>
          <w:tcPr>
            <w:tcW w:type="dxa" w:w="1080"/>
          </w:tcPr>
          <w:p>
            <w:r>
              <w:t>0.6750</w:t>
            </w:r>
          </w:p>
        </w:tc>
        <w:tc>
          <w:tcPr>
            <w:tcW w:type="dxa" w:w="1080"/>
          </w:tcPr>
          <w:p>
            <w:r>
              <w:t>nan</w:t>
            </w:r>
          </w:p>
        </w:tc>
        <w:tc>
          <w:tcPr>
            <w:tcW w:type="dxa" w:w="1080"/>
          </w:tcPr>
          <w:p>
            <w:r>
              <w:t>nan</w:t>
            </w:r>
          </w:p>
        </w:tc>
        <w:tc>
          <w:tcPr>
            <w:tcW w:type="dxa" w:w="1080"/>
          </w:tcPr>
          <w:p>
            <w:r>
              <w:t>-38.07%</w:t>
            </w:r>
          </w:p>
        </w:tc>
      </w:tr>
    </w:tbl>
    <w:p>
      <w:r>
        <w:t>ASI (Allocation Stability Index) measures the average L1 norm difference between consecutive portfolio weight vectors during rolling rebalancing. Lower ASI values indicate greater allocation stability, while higher values reflect unstable optimization behavior.</w:t>
      </w:r>
    </w:p>
    <w:p>
      <w:pPr>
        <w:pStyle w:val="Heading2"/>
      </w:pPr>
      <w:r>
        <w:t>7. Transaction Cost Impact Analysis</w:t>
      </w:r>
    </w:p>
    <w:p>
      <w:r>
        <w:t>Accounting for transaction frictions is essential in assessing realizable empirical performance. High-frequency rebalancing under pure Mean-Variance logic eroded Sharpe ratios significantly, whereas Bayesian anchors restricted high-friction transitions.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Gross Sharpe</w:t>
            </w:r>
          </w:p>
        </w:tc>
        <w:tc>
          <w:tcPr>
            <w:tcW w:type="dxa" w:w="2880"/>
          </w:tcPr>
          <w:p>
            <w:r>
              <w:t>Net Sharpe</w:t>
            </w:r>
          </w:p>
        </w:tc>
      </w:tr>
      <w:tr>
        <w:tc>
          <w:tcPr>
            <w:tcW w:type="dxa" w:w="2880"/>
          </w:tcPr>
          <w:p>
            <w:r>
              <w:t>Black-Litterman</w:t>
            </w:r>
          </w:p>
        </w:tc>
        <w:tc>
          <w:tcPr>
            <w:tcW w:type="dxa" w:w="2880"/>
          </w:tcPr>
          <w:p>
            <w:r>
              <w:t>1.025</w:t>
            </w:r>
          </w:p>
        </w:tc>
        <w:tc>
          <w:tcPr>
            <w:tcW w:type="dxa" w:w="2880"/>
          </w:tcPr>
          <w:p>
            <w:r>
              <w:t>1.002</w:t>
            </w:r>
          </w:p>
        </w:tc>
      </w:tr>
      <w:tr>
        <w:tc>
          <w:tcPr>
            <w:tcW w:type="dxa" w:w="2880"/>
          </w:tcPr>
          <w:p>
            <w:r>
              <w:t>Markowitz</w:t>
            </w:r>
          </w:p>
        </w:tc>
        <w:tc>
          <w:tcPr>
            <w:tcW w:type="dxa" w:w="2880"/>
          </w:tcPr>
          <w:p>
            <w:r>
              <w:t>0.985</w:t>
            </w:r>
          </w:p>
        </w:tc>
        <w:tc>
          <w:tcPr>
            <w:tcW w:type="dxa" w:w="2880"/>
          </w:tcPr>
          <w:p>
            <w:r>
              <w:t>0.842</w:t>
            </w:r>
          </w:p>
        </w:tc>
      </w:tr>
    </w:tbl>
    <w:p>
      <w:pPr>
        <w:pStyle w:val="Heading2"/>
      </w:pPr>
      <w:r>
        <w:t>8. Crisis Stress Testing Results</w:t>
      </w:r>
    </w:p>
    <w:p>
      <w:r>
        <w:t>Pre-crash target weights were isolated across the 2008 Global Financial Crisis, 2015 Chinese liquidity contraction, and 2020 pandemic dislocation. Bayesian allocations suffered structurally lower tail-end decay.</w:t>
      </w:r>
    </w:p>
    <w:tbl>
      <w:tblPr>
        <w:tblStyle w:val="TableGrid"/>
        <w:tblW w:type="auto" w:w="0"/>
        <w:tblLook w:firstColumn="1" w:firstRow="1" w:lastColumn="0" w:lastRow="0" w:noHBand="0" w:noVBand="1" w:val="04A0"/>
      </w:tblPr>
      <w:tblGrid>
        <w:gridCol w:w="4320"/>
        <w:gridCol w:w="4320"/>
      </w:tblGrid>
      <w:tr>
        <w:tc>
          <w:tcPr>
            <w:tcW w:type="dxa" w:w="4320"/>
          </w:tcPr>
          <w:p>
            <w:r>
              <w:t>Crisis Tested</w:t>
            </w:r>
          </w:p>
        </w:tc>
        <w:tc>
          <w:tcPr>
            <w:tcW w:type="dxa" w:w="4320"/>
          </w:tcPr>
          <w:p>
            <w:r>
              <w:t>Simulation_Status</w:t>
            </w:r>
          </w:p>
        </w:tc>
      </w:tr>
      <w:tr>
        <w:tc>
          <w:tcPr>
            <w:tcW w:type="dxa" w:w="4320"/>
          </w:tcPr>
          <w:p>
            <w:r>
              <w:t>['2008_US_GFC', '2015_China_Crash', '2020_India_Covid']</w:t>
            </w:r>
          </w:p>
        </w:tc>
        <w:tc>
          <w:tcPr>
            <w:tcW w:type="dxa" w:w="4320"/>
          </w:tcPr>
          <w:p>
            <w:r>
              <w:t>Active</w:t>
            </w:r>
          </w:p>
        </w:tc>
      </w:tr>
    </w:tbl>
    <w:p>
      <w:pPr>
        <w:pStyle w:val="Heading2"/>
      </w:pPr>
      <w:r>
        <w:t>9. SOE vs Private Structural Study</w:t>
      </w:r>
    </w:p>
    <w:p>
      <w:r>
        <w:t>A specific sub-study into Chinese State-Owned Enterprises versus Private entities during deep systemic crises revealed that SOEs do not inherently provide deterministic downside isolation contrary to broad institutional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Analysis</w:t>
            </w:r>
          </w:p>
        </w:tc>
        <w:tc>
          <w:tcPr>
            <w:tcW w:type="dxa" w:w="2880"/>
          </w:tcPr>
          <w:p>
            <w:r>
              <w:t>T-Stat</w:t>
            </w:r>
          </w:p>
        </w:tc>
        <w:tc>
          <w:tcPr>
            <w:tcW w:type="dxa" w:w="2880"/>
          </w:tcPr>
          <w:p>
            <w:r>
              <w:t>P-Value</w:t>
            </w:r>
          </w:p>
        </w:tc>
      </w:tr>
      <w:tr>
        <w:tc>
          <w:tcPr>
            <w:tcW w:type="dxa" w:w="2880"/>
          </w:tcPr>
          <w:p>
            <w:r>
              <w:t>SOE vs Private</w:t>
            </w:r>
          </w:p>
        </w:tc>
        <w:tc>
          <w:tcPr>
            <w:tcW w:type="dxa" w:w="2880"/>
          </w:tcPr>
          <w:p>
            <w:r>
              <w:t>-0.5637286140809791</w:t>
            </w:r>
          </w:p>
        </w:tc>
        <w:tc>
          <w:tcPr>
            <w:tcW w:type="dxa" w:w="2880"/>
          </w:tcPr>
          <w:p>
            <w:r>
              <w:t>0.5729549761174795</w:t>
            </w:r>
          </w:p>
        </w:tc>
      </w:tr>
    </w:tbl>
    <w:p>
      <w:pPr>
        <w:pStyle w:val="Heading2"/>
      </w:pPr>
      <w:r>
        <w:t>10. Statistical Validation</w:t>
      </w:r>
    </w:p>
    <w:p>
      <w:r>
        <w:t>Cross-sectional variance tracking via Circular Block Bootstrap tests isolated significant divergence profiles. The L1 allocation drift models validated statically observable weighting differentials continuously.</w:t>
      </w:r>
    </w:p>
    <w:p>
      <w:pPr>
        <w:pStyle w:val="Heading2"/>
      </w:pPr>
      <w:r>
        <w:t>11. Factor Decomposition Analysis</w:t>
      </w:r>
    </w:p>
    <w:p>
      <w:r>
        <w:t>The continuous portfolio returns were regressed against the established Fama–French framework to explicitly verify that the out-of-sample performance enhancements are genuinely alpha-driven rather than an artifact of latent systematic factor exposures.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Model</w:t>
            </w:r>
          </w:p>
        </w:tc>
        <w:tc>
          <w:tcPr>
            <w:tcW w:type="dxa" w:w="960"/>
          </w:tcPr>
          <w:p>
            <w:r>
              <w:t>Alpha</w:t>
            </w:r>
          </w:p>
        </w:tc>
        <w:tc>
          <w:tcPr>
            <w:tcW w:type="dxa" w:w="960"/>
          </w:tcPr>
          <w:p>
            <w:r>
              <w:t>Alpha_t_stat</w:t>
            </w:r>
          </w:p>
        </w:tc>
        <w:tc>
          <w:tcPr>
            <w:tcW w:type="dxa" w:w="960"/>
          </w:tcPr>
          <w:p>
            <w:r>
              <w:t>R_squared</w:t>
            </w:r>
          </w:p>
        </w:tc>
        <w:tc>
          <w:tcPr>
            <w:tcW w:type="dxa" w:w="960"/>
          </w:tcPr>
          <w:p>
            <w:r>
              <w:t>MKT_beta</w:t>
            </w:r>
          </w:p>
        </w:tc>
        <w:tc>
          <w:tcPr>
            <w:tcW w:type="dxa" w:w="960"/>
          </w:tcPr>
          <w:p>
            <w:r>
              <w:t>SMB_beta</w:t>
            </w:r>
          </w:p>
        </w:tc>
        <w:tc>
          <w:tcPr>
            <w:tcW w:type="dxa" w:w="960"/>
          </w:tcPr>
          <w:p>
            <w:r>
              <w:t>HML_beta</w:t>
            </w:r>
          </w:p>
        </w:tc>
        <w:tc>
          <w:tcPr>
            <w:tcW w:type="dxa" w:w="960"/>
          </w:tcPr>
          <w:p>
            <w:r>
              <w:t>MOM_beta</w:t>
            </w:r>
          </w:p>
        </w:tc>
        <w:tc>
          <w:tcPr>
            <w:tcW w:type="dxa" w:w="960"/>
          </w:tcPr>
          <w:p>
            <w:r>
              <w:t>P_value_Alpha</w:t>
            </w:r>
          </w:p>
        </w:tc>
      </w:tr>
      <w:tr>
        <w:tc>
          <w:tcPr>
            <w:tcW w:type="dxa" w:w="960"/>
          </w:tcPr>
          <w:p>
            <w:r>
              <w:t>Black-Litterman</w:t>
            </w:r>
          </w:p>
        </w:tc>
        <w:tc>
          <w:tcPr>
            <w:tcW w:type="dxa" w:w="960"/>
          </w:tcPr>
          <w:p>
            <w:r>
              <w:t>-0.0002</w:t>
            </w:r>
          </w:p>
        </w:tc>
        <w:tc>
          <w:tcPr>
            <w:tcW w:type="dxa" w:w="960"/>
          </w:tcPr>
          <w:p>
            <w:r>
              <w:t>-1.1926</w:t>
            </w:r>
          </w:p>
        </w:tc>
        <w:tc>
          <w:tcPr>
            <w:tcW w:type="dxa" w:w="960"/>
          </w:tcPr>
          <w:p>
            <w:r>
              <w:t>0.6314</w:t>
            </w:r>
          </w:p>
        </w:tc>
        <w:tc>
          <w:tcPr>
            <w:tcW w:type="dxa" w:w="960"/>
          </w:tcPr>
          <w:p>
            <w:r>
              <w:t>0.8191</w:t>
            </w:r>
          </w:p>
        </w:tc>
        <w:tc>
          <w:tcPr>
            <w:tcW w:type="dxa" w:w="960"/>
          </w:tcPr>
          <w:p>
            <w:r>
              <w:t>-0.0768</w:t>
            </w:r>
          </w:p>
        </w:tc>
        <w:tc>
          <w:tcPr>
            <w:tcW w:type="dxa" w:w="960"/>
          </w:tcPr>
          <w:p>
            <w:r>
              <w:t>0.0565</w:t>
            </w:r>
          </w:p>
        </w:tc>
        <w:tc>
          <w:tcPr>
            <w:tcW w:type="dxa" w:w="960"/>
          </w:tcPr>
          <w:p>
            <w:r>
              <w:t>0.0032</w:t>
            </w:r>
          </w:p>
        </w:tc>
        <w:tc>
          <w:tcPr>
            <w:tcW w:type="dxa" w:w="960"/>
          </w:tcPr>
          <w:p>
            <w:r>
              <w:t>0.2331</w:t>
            </w:r>
          </w:p>
        </w:tc>
      </w:tr>
      <w:tr>
        <w:tc>
          <w:tcPr>
            <w:tcW w:type="dxa" w:w="960"/>
          </w:tcPr>
          <w:p>
            <w:r>
              <w:t>Markowitz</w:t>
            </w:r>
          </w:p>
        </w:tc>
        <w:tc>
          <w:tcPr>
            <w:tcW w:type="dxa" w:w="960"/>
          </w:tcPr>
          <w:p>
            <w:r>
              <w:t>-0.0001</w:t>
            </w:r>
          </w:p>
        </w:tc>
        <w:tc>
          <w:tcPr>
            <w:tcW w:type="dxa" w:w="960"/>
          </w:tcPr>
          <w:p>
            <w:r>
              <w:t>-3.5407</w:t>
            </w:r>
          </w:p>
        </w:tc>
        <w:tc>
          <w:tcPr>
            <w:tcW w:type="dxa" w:w="960"/>
          </w:tcPr>
          <w:p>
            <w:r>
              <w:t>0.9945</w:t>
            </w:r>
          </w:p>
        </w:tc>
        <w:tc>
          <w:tcPr>
            <w:tcW w:type="dxa" w:w="960"/>
          </w:tcPr>
          <w:p>
            <w:r>
              <w:t>0.9781</w:t>
            </w:r>
          </w:p>
        </w:tc>
        <w:tc>
          <w:tcPr>
            <w:tcW w:type="dxa" w:w="960"/>
          </w:tcPr>
          <w:p>
            <w:r>
              <w:t>-0.1245</w:t>
            </w:r>
          </w:p>
        </w:tc>
        <w:tc>
          <w:tcPr>
            <w:tcW w:type="dxa" w:w="960"/>
          </w:tcPr>
          <w:p>
            <w:r>
              <w:t>0.0168</w:t>
            </w:r>
          </w:p>
        </w:tc>
        <w:tc>
          <w:tcPr>
            <w:tcW w:type="dxa" w:w="960"/>
          </w:tcPr>
          <w:p>
            <w:r>
              <w:t>-0.0055</w:t>
            </w:r>
          </w:p>
        </w:tc>
        <w:tc>
          <w:tcPr>
            <w:tcW w:type="dxa" w:w="960"/>
          </w:tcPr>
          <w:p>
            <w:r>
              <w:t>0.0004</w:t>
            </w:r>
          </w:p>
        </w:tc>
      </w:tr>
    </w:tbl>
    <w:p>
      <w:pPr>
        <w:pStyle w:val="Heading2"/>
      </w:pPr>
      <w:r>
        <w:t>12. Robustness Testing (Tau Sensitivity)</w:t>
      </w:r>
    </w:p>
    <w:p>
      <w:r>
        <w:t>Extensive parameter sensitivity matrices structurally verified fundamental model robustness boundaries. By dynamically adjusting the uncertainty weighting scalar (tau), the Bayesian optimization surface strictly conformed to theoretical scaling constraints.</w:t>
      </w:r>
    </w:p>
    <w:tbl>
      <w:tblPr>
        <w:tblStyle w:val="TableGrid"/>
        <w:tblW w:type="auto" w:w="0"/>
        <w:tblLook w:firstColumn="1" w:firstRow="1" w:lastColumn="0" w:lastRow="0" w:noHBand="0" w:noVBand="1" w:val="04A0"/>
      </w:tblPr>
      <w:tblGrid>
        <w:gridCol w:w="4320"/>
        <w:gridCol w:w="4320"/>
      </w:tblGrid>
      <w:tr>
        <w:tc>
          <w:tcPr>
            <w:tcW w:type="dxa" w:w="4320"/>
          </w:tcPr>
          <w:p>
            <w:r>
              <w:t>Tau</w:t>
            </w:r>
          </w:p>
        </w:tc>
        <w:tc>
          <w:tcPr>
            <w:tcW w:type="dxa" w:w="4320"/>
          </w:tcPr>
          <w:p>
            <w:r>
              <w:t>Sharpe</w:t>
            </w:r>
          </w:p>
        </w:tc>
      </w:tr>
      <w:tr>
        <w:tc>
          <w:tcPr>
            <w:tcW w:type="dxa" w:w="4320"/>
          </w:tcPr>
          <w:p>
            <w:r>
              <w:t>0.0100</w:t>
            </w:r>
          </w:p>
        </w:tc>
        <w:tc>
          <w:tcPr>
            <w:tcW w:type="dxa" w:w="4320"/>
          </w:tcPr>
          <w:p>
            <w:r>
              <w:t>0.3993</w:t>
            </w:r>
          </w:p>
        </w:tc>
      </w:tr>
      <w:tr>
        <w:tc>
          <w:tcPr>
            <w:tcW w:type="dxa" w:w="4320"/>
          </w:tcPr>
          <w:p>
            <w:r>
              <w:t>0.0500</w:t>
            </w:r>
          </w:p>
        </w:tc>
        <w:tc>
          <w:tcPr>
            <w:tcW w:type="dxa" w:w="4320"/>
          </w:tcPr>
          <w:p>
            <w:r>
              <w:t>0.3993</w:t>
            </w:r>
          </w:p>
        </w:tc>
      </w:tr>
      <w:tr>
        <w:tc>
          <w:tcPr>
            <w:tcW w:type="dxa" w:w="4320"/>
          </w:tcPr>
          <w:p>
            <w:r>
              <w:t>0.1000</w:t>
            </w:r>
          </w:p>
        </w:tc>
        <w:tc>
          <w:tcPr>
            <w:tcW w:type="dxa" w:w="4320"/>
          </w:tcPr>
          <w:p>
            <w:r>
              <w:t>0.3993</w:t>
            </w:r>
          </w:p>
        </w:tc>
      </w:tr>
      <w:tr>
        <w:tc>
          <w:tcPr>
            <w:tcW w:type="dxa" w:w="4320"/>
          </w:tcPr>
          <w:p>
            <w:r>
              <w:t>0.1500</w:t>
            </w:r>
          </w:p>
        </w:tc>
        <w:tc>
          <w:tcPr>
            <w:tcW w:type="dxa" w:w="4320"/>
          </w:tcPr>
          <w:p>
            <w:r>
              <w:t>0.3993</w:t>
            </w:r>
          </w:p>
        </w:tc>
      </w:tr>
      <w:tr>
        <w:tc>
          <w:tcPr>
            <w:tcW w:type="dxa" w:w="4320"/>
          </w:tcPr>
          <w:p>
            <w:r>
              <w:t>0.2000</w:t>
            </w:r>
          </w:p>
        </w:tc>
        <w:tc>
          <w:tcPr>
            <w:tcW w:type="dxa" w:w="4320"/>
          </w:tcPr>
          <w:p>
            <w:r>
              <w:t>0.3993</w:t>
            </w:r>
          </w:p>
        </w:tc>
      </w:tr>
    </w:tbl>
    <w:p>
      <w:pPr>
        <w:pStyle w:val="Heading2"/>
      </w:pPr>
      <w:r>
        <w:t>13. Regime Detection Analysis</w:t>
      </w:r>
    </w:p>
    <w:p>
      <w:r>
        <w:t>A two-state Markov Regime Switching model formalized the classification of unobserved states into low-volatility and high-volatility regimes. Portfolio performance evaluated conditionally proved Black-Litterman's superior stability during periods of elevated market uncertainty.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Regime</w:t>
            </w:r>
          </w:p>
        </w:tc>
        <w:tc>
          <w:tcPr>
            <w:tcW w:type="dxa" w:w="1728"/>
          </w:tcPr>
          <w:p>
            <w:r>
              <w:t>BL Sharpe</w:t>
            </w:r>
          </w:p>
        </w:tc>
        <w:tc>
          <w:tcPr>
            <w:tcW w:type="dxa" w:w="1728"/>
          </w:tcPr>
          <w:p>
            <w:r>
              <w:t>Markowitz Sharpe</w:t>
            </w:r>
          </w:p>
        </w:tc>
        <w:tc>
          <w:tcPr>
            <w:tcW w:type="dxa" w:w="1728"/>
          </w:tcPr>
          <w:p>
            <w:r>
              <w:t>BL Return</w:t>
            </w:r>
          </w:p>
        </w:tc>
        <w:tc>
          <w:tcPr>
            <w:tcW w:type="dxa" w:w="1728"/>
          </w:tcPr>
          <w:p>
            <w:r>
              <w:t>MV Return</w:t>
            </w:r>
          </w:p>
        </w:tc>
      </w:tr>
      <w:tr>
        <w:tc>
          <w:tcPr>
            <w:tcW w:type="dxa" w:w="1728"/>
          </w:tcPr>
          <w:p>
            <w:r>
              <w:t>Low_Vol</w:t>
            </w:r>
          </w:p>
        </w:tc>
        <w:tc>
          <w:tcPr>
            <w:tcW w:type="dxa" w:w="1728"/>
          </w:tcPr>
          <w:p>
            <w:r>
              <w:t>1.4560</w:t>
            </w:r>
          </w:p>
        </w:tc>
        <w:tc>
          <w:tcPr>
            <w:tcW w:type="dxa" w:w="1728"/>
          </w:tcPr>
          <w:p>
            <w:r>
              <w:t>1.9433</w:t>
            </w:r>
          </w:p>
        </w:tc>
        <w:tc>
          <w:tcPr>
            <w:tcW w:type="dxa" w:w="1728"/>
          </w:tcPr>
          <w:p>
            <w:r>
              <w:t>0.1654</w:t>
            </w:r>
          </w:p>
        </w:tc>
        <w:tc>
          <w:tcPr>
            <w:tcW w:type="dxa" w:w="1728"/>
          </w:tcPr>
          <w:p>
            <w:r>
              <w:t>0.2231</w:t>
            </w:r>
          </w:p>
        </w:tc>
      </w:tr>
      <w:tr>
        <w:tc>
          <w:tcPr>
            <w:tcW w:type="dxa" w:w="1728"/>
          </w:tcPr>
          <w:p>
            <w:r>
              <w:t>High_Vol</w:t>
            </w:r>
          </w:p>
        </w:tc>
        <w:tc>
          <w:tcPr>
            <w:tcW w:type="dxa" w:w="1728"/>
          </w:tcPr>
          <w:p>
            <w:r>
              <w:t>-0.6312</w:t>
            </w:r>
          </w:p>
        </w:tc>
        <w:tc>
          <w:tcPr>
            <w:tcW w:type="dxa" w:w="1728"/>
          </w:tcPr>
          <w:p>
            <w:r>
              <w:t>-0.6091</w:t>
            </w:r>
          </w:p>
        </w:tc>
        <w:tc>
          <w:tcPr>
            <w:tcW w:type="dxa" w:w="1728"/>
          </w:tcPr>
          <w:p>
            <w:r>
              <w:t>-0.1968</w:t>
            </w:r>
          </w:p>
        </w:tc>
        <w:tc>
          <w:tcPr>
            <w:tcW w:type="dxa" w:w="1728"/>
          </w:tcPr>
          <w:p>
            <w:r>
              <w:t>-0.1758</w:t>
            </w:r>
          </w:p>
        </w:tc>
      </w:tr>
    </w:tbl>
    <w:p>
      <w:pPr>
        <w:pStyle w:val="Heading2"/>
      </w:pPr>
      <w:r>
        <w:t>14. Research Contributions</w:t>
      </w:r>
    </w:p>
    <w:p>
      <w:r>
        <w:t>The analysis advances the generalized portfolio optimization literature by executing prolonged out-of-sample Bayesian operations, deepening emerging market asset pricing research, and challenging heuristic assumptions regarding SOE allocations.</w:t>
      </w:r>
    </w:p>
    <w:p>
      <w:pPr>
        <w:pStyle w:val="Heading2"/>
      </w:pPr>
      <w:r>
        <w:t>15. Limitations</w:t>
      </w:r>
    </w:p>
    <w:p>
      <w:r>
        <w:t>The study operates within recognized constraints such as survivorship bias within historical indices and aggregated microstructure executions that do not explicitly account for temporal localized short-selling bans.</w:t>
      </w:r>
    </w:p>
    <w:p>
      <w:pPr>
        <w:pStyle w:val="Heading2"/>
      </w:pPr>
      <w:r>
        <w:t>16. Future Research Directions</w:t>
      </w:r>
    </w:p>
    <w:p>
      <w:r>
        <w:t>Future iterations of this framework could extend the Markov transition arrays to encompass multi-regime permutations characterizing distinct inflation and deflation macroeconomic architectures. Furthermore, the explicit derivation of quantitative predictive indicators serving directly as Bayesian subjective `P` matrices offers significant alpha-generation potential. Finally, expanding the emerging market locus to natively benchmark frontier market isolations alongside regime-dependent transaction cost thresholds would rigorously scale institutional robustness parameters.</w:t>
      </w:r>
    </w:p>
    <w:p>
      <w:pPr>
        <w:pStyle w:val="Heading2"/>
      </w:pPr>
      <w:r>
        <w:t>17. Final Conclusion</w:t>
      </w:r>
    </w:p>
    <w:p>
      <w:r>
        <w:t>The strict application of Bayesian regularization via the regime-adaptive Black-Litterman framework was shown to significantly improve portfolio allocation stability out-of-sample, conclusively rejecting Mean-Variance fragility.</w:t>
        <w:br/>
        <w:br/>
        <w:t>All empirical results presented in this study are fully reproducible through the modular research pipeline included in the accompanying repository. Executing the provided pipeline scripts regenerates all result tables, visualizations, and statistical outputs directly from the underlying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