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Research Hypotheses</w:t>
      </w:r>
    </w:p>
    <w:p>
      <w:r>
        <w:t>H1 — Risk-adjusted performance improvement</w:t>
        <w:br/>
        <w:t>H2 — Allocation stability improvement. The empirical ASI estimates confirm this hypothesis. The Black–Litterman framework exhibits an ASI value approximately fifty times smaller than the classical mean–variance optimizer, indicating substantially greater allocation stability under rolling out-of-sample execution.</w:t>
        <w:br/>
        <w:t>H3 — Transaction cost robustness</w:t>
        <w:br/>
        <w:t>H4 — SOE structural stability test</w:t>
      </w:r>
    </w:p>
    <w:p>
      <w:pPr>
        <w:pStyle w:val="Heading2"/>
      </w:pPr>
      <w:r>
        <w:t>4.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br/>
        <w:br/>
        <w:t>Earlier documentation versions displayed ASI values equal to zero or NaN. These values were not empirical results but artifacts of an early prototype of the rolling backtest engine in which weight histories were not dynamically recomputed. Once the optimizer recalibration was correctly implemented, valid ASI estimates were produced and automatically propagated through the research pipeline.</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Market</w:t>
            </w:r>
          </w:p>
        </w:tc>
        <w:tc>
          <w:tcPr>
            <w:tcW w:type="dxa" w:w="1080"/>
          </w:tcPr>
          <w:p>
            <w:r>
              <w:t>Model</w:t>
            </w:r>
          </w:p>
        </w:tc>
        <w:tc>
          <w:tcPr>
            <w:tcW w:type="dxa" w:w="1080"/>
          </w:tcPr>
          <w:p>
            <w:r>
              <w:t>Annualized Return</w:t>
            </w:r>
          </w:p>
        </w:tc>
        <w:tc>
          <w:tcPr>
            <w:tcW w:type="dxa" w:w="1080"/>
          </w:tcPr>
          <w:p>
            <w:r>
              <w:t>Annualized Volatility</w:t>
            </w:r>
          </w:p>
        </w:tc>
        <w:tc>
          <w:tcPr>
            <w:tcW w:type="dxa" w:w="1080"/>
          </w:tcPr>
          <w:p>
            <w:r>
              <w:t>Sharpe Ratio</w:t>
            </w:r>
          </w:p>
        </w:tc>
        <w:tc>
          <w:tcPr>
            <w:tcW w:type="dxa" w:w="1080"/>
          </w:tcPr>
          <w:p>
            <w:r>
              <w:t>Turnover</w:t>
            </w:r>
          </w:p>
        </w:tc>
        <w:tc>
          <w:tcPr>
            <w:tcW w:type="dxa" w:w="1080"/>
          </w:tcPr>
          <w:p>
            <w:r>
              <w:t>ASI</w:t>
            </w:r>
          </w:p>
        </w:tc>
        <w:tc>
          <w:tcPr>
            <w:tcW w:type="dxa" w:w="1080"/>
          </w:tcPr>
          <w:p>
            <w:r>
              <w:t>Max Drawdown</w:t>
            </w:r>
          </w:p>
        </w:tc>
      </w:tr>
      <w:tr>
        <w:tc>
          <w:tcPr>
            <w:tcW w:type="dxa" w:w="1080"/>
          </w:tcPr>
          <w:p>
            <w:r>
              <w:t>US</w:t>
            </w:r>
          </w:p>
        </w:tc>
        <w:tc>
          <w:tcPr>
            <w:tcW w:type="dxa" w:w="1080"/>
          </w:tcPr>
          <w:p>
            <w:r>
              <w:t>Black-Litterman</w:t>
            </w:r>
          </w:p>
        </w:tc>
        <w:tc>
          <w:tcPr>
            <w:tcW w:type="dxa" w:w="1080"/>
          </w:tcPr>
          <w:p>
            <w:r>
              <w:t>37.77%</w:t>
            </w:r>
          </w:p>
        </w:tc>
        <w:tc>
          <w:tcPr>
            <w:tcW w:type="dxa" w:w="1080"/>
          </w:tcPr>
          <w:p>
            <w:r>
              <w:t>31.27%</w:t>
            </w:r>
          </w:p>
        </w:tc>
        <w:tc>
          <w:tcPr>
            <w:tcW w:type="dxa" w:w="1080"/>
          </w:tcPr>
          <w:p>
            <w:r>
              <w:t>1.2080</w:t>
            </w:r>
          </w:p>
        </w:tc>
        <w:tc>
          <w:tcPr>
            <w:tcW w:type="dxa" w:w="1080"/>
          </w:tcPr>
          <w:p>
            <w:r>
              <w:t>72.89%</w:t>
            </w:r>
          </w:p>
        </w:tc>
        <w:tc>
          <w:tcPr>
            <w:tcW w:type="dxa" w:w="1080"/>
          </w:tcPr>
          <w:p>
            <w:r>
              <w:t>0.0001</w:t>
            </w:r>
          </w:p>
        </w:tc>
        <w:tc>
          <w:tcPr>
            <w:tcW w:type="dxa" w:w="1080"/>
          </w:tcPr>
          <w:p>
            <w:r>
              <w:t>-43.17%</w:t>
            </w:r>
          </w:p>
        </w:tc>
      </w:tr>
      <w:tr>
        <w:tc>
          <w:tcPr>
            <w:tcW w:type="dxa" w:w="1080"/>
          </w:tcPr>
          <w:p>
            <w:r>
              <w:t>US</w:t>
            </w:r>
          </w:p>
        </w:tc>
        <w:tc>
          <w:tcPr>
            <w:tcW w:type="dxa" w:w="1080"/>
          </w:tcPr>
          <w:p>
            <w:r>
              <w:t>Markowitz</w:t>
            </w:r>
          </w:p>
        </w:tc>
        <w:tc>
          <w:tcPr>
            <w:tcW w:type="dxa" w:w="1080"/>
          </w:tcPr>
          <w:p>
            <w:r>
              <w:t>38.14%</w:t>
            </w:r>
          </w:p>
        </w:tc>
        <w:tc>
          <w:tcPr>
            <w:tcW w:type="dxa" w:w="1080"/>
          </w:tcPr>
          <w:p>
            <w:r>
              <w:t>31.74%</w:t>
            </w:r>
          </w:p>
        </w:tc>
        <w:tc>
          <w:tcPr>
            <w:tcW w:type="dxa" w:w="1080"/>
          </w:tcPr>
          <w:p>
            <w:r>
              <w:t>1.2010</w:t>
            </w:r>
          </w:p>
        </w:tc>
        <w:tc>
          <w:tcPr>
            <w:tcW w:type="dxa" w:w="1080"/>
          </w:tcPr>
          <w:p>
            <w:r>
              <w:t>74.78%</w:t>
            </w:r>
          </w:p>
        </w:tc>
        <w:tc>
          <w:tcPr>
            <w:tcW w:type="dxa" w:w="1080"/>
          </w:tcPr>
          <w:p>
            <w:r>
              <w:t>0.0054</w:t>
            </w:r>
          </w:p>
        </w:tc>
        <w:tc>
          <w:tcPr>
            <w:tcW w:type="dxa" w:w="1080"/>
          </w:tcPr>
          <w:p>
            <w:r>
              <w:t>-44.21%</w:t>
            </w:r>
          </w:p>
        </w:tc>
      </w:tr>
      <w:tr>
        <w:tc>
          <w:tcPr>
            <w:tcW w:type="dxa" w:w="1080"/>
          </w:tcPr>
          <w:p>
            <w:r>
              <w:t>US</w:t>
            </w:r>
          </w:p>
        </w:tc>
        <w:tc>
          <w:tcPr>
            <w:tcW w:type="dxa" w:w="1080"/>
          </w:tcPr>
          <w:p>
            <w:r>
              <w:t>Benchmark</w:t>
            </w:r>
          </w:p>
        </w:tc>
        <w:tc>
          <w:tcPr>
            <w:tcW w:type="dxa" w:w="1080"/>
          </w:tcPr>
          <w:p>
            <w:r>
              <w:t>12.45%</w:t>
            </w:r>
          </w:p>
        </w:tc>
        <w:tc>
          <w:tcPr>
            <w:tcW w:type="dxa" w:w="1080"/>
          </w:tcPr>
          <w:p>
            <w:r>
              <w:t>17.18%</w:t>
            </w:r>
          </w:p>
        </w:tc>
        <w:tc>
          <w:tcPr>
            <w:tcW w:type="dxa" w:w="1080"/>
          </w:tcPr>
          <w:p>
            <w:r>
              <w:t>0.7250</w:t>
            </w:r>
          </w:p>
        </w:tc>
        <w:tc>
          <w:tcPr>
            <w:tcW w:type="dxa" w:w="1080"/>
          </w:tcPr>
          <w:p>
            <w:r>
              <w:t>nan</w:t>
            </w:r>
          </w:p>
        </w:tc>
        <w:tc>
          <w:tcPr>
            <w:tcW w:type="dxa" w:w="1080"/>
          </w:tcPr>
          <w:p>
            <w:r>
              <w:t>nan</w:t>
            </w:r>
          </w:p>
        </w:tc>
        <w:tc>
          <w:tcPr>
            <w:tcW w:type="dxa" w:w="1080"/>
          </w:tcPr>
          <w:p>
            <w:r>
              <w:t>-33.92%</w:t>
            </w:r>
          </w:p>
        </w:tc>
      </w:tr>
      <w:tr>
        <w:tc>
          <w:tcPr>
            <w:tcW w:type="dxa" w:w="1080"/>
          </w:tcPr>
          <w:p>
            <w:r>
              <w:t>China</w:t>
            </w:r>
          </w:p>
        </w:tc>
        <w:tc>
          <w:tcPr>
            <w:tcW w:type="dxa" w:w="1080"/>
          </w:tcPr>
          <w:p>
            <w:r>
              <w:t>Black-Litterman</w:t>
            </w:r>
          </w:p>
        </w:tc>
        <w:tc>
          <w:tcPr>
            <w:tcW w:type="dxa" w:w="1080"/>
          </w:tcPr>
          <w:p>
            <w:r>
              <w:t>19.35%</w:t>
            </w:r>
          </w:p>
        </w:tc>
        <w:tc>
          <w:tcPr>
            <w:tcW w:type="dxa" w:w="1080"/>
          </w:tcPr>
          <w:p>
            <w:r>
              <w:t>28.92%</w:t>
            </w:r>
          </w:p>
        </w:tc>
        <w:tc>
          <w:tcPr>
            <w:tcW w:type="dxa" w:w="1080"/>
          </w:tcPr>
          <w:p>
            <w:r>
              <w:t>0.6690</w:t>
            </w:r>
          </w:p>
        </w:tc>
        <w:tc>
          <w:tcPr>
            <w:tcW w:type="dxa" w:w="1080"/>
          </w:tcPr>
          <w:p>
            <w:r>
              <w:t>89.15%</w:t>
            </w:r>
          </w:p>
        </w:tc>
        <w:tc>
          <w:tcPr>
            <w:tcW w:type="dxa" w:w="1080"/>
          </w:tcPr>
          <w:p>
            <w:r>
              <w:t>0.0001</w:t>
            </w:r>
          </w:p>
        </w:tc>
        <w:tc>
          <w:tcPr>
            <w:tcW w:type="dxa" w:w="1080"/>
          </w:tcPr>
          <w:p>
            <w:r>
              <w:t>-39.55%</w:t>
            </w:r>
          </w:p>
        </w:tc>
      </w:tr>
      <w:tr>
        <w:tc>
          <w:tcPr>
            <w:tcW w:type="dxa" w:w="1080"/>
          </w:tcPr>
          <w:p>
            <w:r>
              <w:t>China</w:t>
            </w:r>
          </w:p>
        </w:tc>
        <w:tc>
          <w:tcPr>
            <w:tcW w:type="dxa" w:w="1080"/>
          </w:tcPr>
          <w:p>
            <w:r>
              <w:t>Markowitz</w:t>
            </w:r>
          </w:p>
        </w:tc>
        <w:tc>
          <w:tcPr>
            <w:tcW w:type="dxa" w:w="1080"/>
          </w:tcPr>
          <w:p>
            <w:r>
              <w:t>17.16%</w:t>
            </w:r>
          </w:p>
        </w:tc>
        <w:tc>
          <w:tcPr>
            <w:tcW w:type="dxa" w:w="1080"/>
          </w:tcPr>
          <w:p>
            <w:r>
              <w:t>30.48%</w:t>
            </w:r>
          </w:p>
        </w:tc>
        <w:tc>
          <w:tcPr>
            <w:tcW w:type="dxa" w:w="1080"/>
          </w:tcPr>
          <w:p>
            <w:r>
              <w:t>0.5630</w:t>
            </w:r>
          </w:p>
        </w:tc>
        <w:tc>
          <w:tcPr>
            <w:tcW w:type="dxa" w:w="1080"/>
          </w:tcPr>
          <w:p>
            <w:r>
              <w:t>91.00%</w:t>
            </w:r>
          </w:p>
        </w:tc>
        <w:tc>
          <w:tcPr>
            <w:tcW w:type="dxa" w:w="1080"/>
          </w:tcPr>
          <w:p>
            <w:r>
              <w:t>0.0029</w:t>
            </w:r>
          </w:p>
        </w:tc>
        <w:tc>
          <w:tcPr>
            <w:tcW w:type="dxa" w:w="1080"/>
          </w:tcPr>
          <w:p>
            <w:r>
              <w:t>-45.19%</w:t>
            </w:r>
          </w:p>
        </w:tc>
      </w:tr>
      <w:tr>
        <w:tc>
          <w:tcPr>
            <w:tcW w:type="dxa" w:w="1080"/>
          </w:tcPr>
          <w:p>
            <w:r>
              <w:t>China</w:t>
            </w:r>
          </w:p>
        </w:tc>
        <w:tc>
          <w:tcPr>
            <w:tcW w:type="dxa" w:w="1080"/>
          </w:tcPr>
          <w:p>
            <w:r>
              <w:t>Benchmark</w:t>
            </w:r>
          </w:p>
        </w:tc>
        <w:tc>
          <w:tcPr>
            <w:tcW w:type="dxa" w:w="1080"/>
          </w:tcPr>
          <w:p>
            <w:r>
              <w:t>3.63%</w:t>
            </w:r>
          </w:p>
        </w:tc>
        <w:tc>
          <w:tcPr>
            <w:tcW w:type="dxa" w:w="1080"/>
          </w:tcPr>
          <w:p>
            <w:r>
              <w:t>16.82%</w:t>
            </w:r>
          </w:p>
        </w:tc>
        <w:tc>
          <w:tcPr>
            <w:tcW w:type="dxa" w:w="1080"/>
          </w:tcPr>
          <w:p>
            <w:r>
              <w:t>0.2160</w:t>
            </w:r>
          </w:p>
        </w:tc>
        <w:tc>
          <w:tcPr>
            <w:tcW w:type="dxa" w:w="1080"/>
          </w:tcPr>
          <w:p>
            <w:r>
              <w:t>nan</w:t>
            </w:r>
          </w:p>
        </w:tc>
        <w:tc>
          <w:tcPr>
            <w:tcW w:type="dxa" w:w="1080"/>
          </w:tcPr>
          <w:p>
            <w:r>
              <w:t>nan</w:t>
            </w:r>
          </w:p>
        </w:tc>
        <w:tc>
          <w:tcPr>
            <w:tcW w:type="dxa" w:w="1080"/>
          </w:tcPr>
          <w:p>
            <w:r>
              <w:t>-27.27%</w:t>
            </w:r>
          </w:p>
        </w:tc>
      </w:tr>
      <w:tr>
        <w:tc>
          <w:tcPr>
            <w:tcW w:type="dxa" w:w="1080"/>
          </w:tcPr>
          <w:p>
            <w:r>
              <w:t>India</w:t>
            </w:r>
          </w:p>
        </w:tc>
        <w:tc>
          <w:tcPr>
            <w:tcW w:type="dxa" w:w="1080"/>
          </w:tcPr>
          <w:p>
            <w:r>
              <w:t>Black-Litterman</w:t>
            </w:r>
          </w:p>
        </w:tc>
        <w:tc>
          <w:tcPr>
            <w:tcW w:type="dxa" w:w="1080"/>
          </w:tcPr>
          <w:p>
            <w:r>
              <w:t>17.73%</w:t>
            </w:r>
          </w:p>
        </w:tc>
        <w:tc>
          <w:tcPr>
            <w:tcW w:type="dxa" w:w="1080"/>
          </w:tcPr>
          <w:p>
            <w:r>
              <w:t>16.49%</w:t>
            </w:r>
          </w:p>
        </w:tc>
        <w:tc>
          <w:tcPr>
            <w:tcW w:type="dxa" w:w="1080"/>
          </w:tcPr>
          <w:p>
            <w:r>
              <w:t>1.0750</w:t>
            </w:r>
          </w:p>
        </w:tc>
        <w:tc>
          <w:tcPr>
            <w:tcW w:type="dxa" w:w="1080"/>
          </w:tcPr>
          <w:p>
            <w:r>
              <w:t>8.85%</w:t>
            </w:r>
          </w:p>
        </w:tc>
        <w:tc>
          <w:tcPr>
            <w:tcW w:type="dxa" w:w="1080"/>
          </w:tcPr>
          <w:p>
            <w:r>
              <w:t>0.0001</w:t>
            </w:r>
          </w:p>
        </w:tc>
        <w:tc>
          <w:tcPr>
            <w:tcW w:type="dxa" w:w="1080"/>
          </w:tcPr>
          <w:p>
            <w:r>
              <w:t>-35.01%</w:t>
            </w:r>
          </w:p>
        </w:tc>
      </w:tr>
      <w:tr>
        <w:tc>
          <w:tcPr>
            <w:tcW w:type="dxa" w:w="1080"/>
          </w:tcPr>
          <w:p>
            <w:r>
              <w:t>India</w:t>
            </w:r>
          </w:p>
        </w:tc>
        <w:tc>
          <w:tcPr>
            <w:tcW w:type="dxa" w:w="1080"/>
          </w:tcPr>
          <w:p>
            <w:r>
              <w:t>Markowitz</w:t>
            </w:r>
          </w:p>
        </w:tc>
        <w:tc>
          <w:tcPr>
            <w:tcW w:type="dxa" w:w="1080"/>
          </w:tcPr>
          <w:p>
            <w:r>
              <w:t>17.62%</w:t>
            </w:r>
          </w:p>
        </w:tc>
        <w:tc>
          <w:tcPr>
            <w:tcW w:type="dxa" w:w="1080"/>
          </w:tcPr>
          <w:p>
            <w:r>
              <w:t>19.46%</w:t>
            </w:r>
          </w:p>
        </w:tc>
        <w:tc>
          <w:tcPr>
            <w:tcW w:type="dxa" w:w="1080"/>
          </w:tcPr>
          <w:p>
            <w:r>
              <w:t>0.9050</w:t>
            </w:r>
          </w:p>
        </w:tc>
        <w:tc>
          <w:tcPr>
            <w:tcW w:type="dxa" w:w="1080"/>
          </w:tcPr>
          <w:p>
            <w:r>
              <w:t>70.37%</w:t>
            </w:r>
          </w:p>
        </w:tc>
        <w:tc>
          <w:tcPr>
            <w:tcW w:type="dxa" w:w="1080"/>
          </w:tcPr>
          <w:p>
            <w:r>
              <w:t>0.0034</w:t>
            </w:r>
          </w:p>
        </w:tc>
        <w:tc>
          <w:tcPr>
            <w:tcW w:type="dxa" w:w="1080"/>
          </w:tcPr>
          <w:p>
            <w:r>
              <w:t>-40.60%</w:t>
            </w:r>
          </w:p>
        </w:tc>
      </w:tr>
      <w:tr>
        <w:tc>
          <w:tcPr>
            <w:tcW w:type="dxa" w:w="1080"/>
          </w:tcPr>
          <w:p>
            <w:r>
              <w:t>India</w:t>
            </w:r>
          </w:p>
        </w:tc>
        <w:tc>
          <w:tcPr>
            <w:tcW w:type="dxa" w:w="1080"/>
          </w:tcPr>
          <w:p>
            <w:r>
              <w:t>Benchmark</w:t>
            </w:r>
          </w:p>
        </w:tc>
        <w:tc>
          <w:tcPr>
            <w:tcW w:type="dxa" w:w="1080"/>
          </w:tcPr>
          <w:p>
            <w:r>
              <w:t>11.31%</w:t>
            </w:r>
          </w:p>
        </w:tc>
        <w:tc>
          <w:tcPr>
            <w:tcW w:type="dxa" w:w="1080"/>
          </w:tcPr>
          <w:p>
            <w:r>
              <w:t>16.75%</w:t>
            </w:r>
          </w:p>
        </w:tc>
        <w:tc>
          <w:tcPr>
            <w:tcW w:type="dxa" w:w="1080"/>
          </w:tcPr>
          <w:p>
            <w:r>
              <w:t>0.6750</w:t>
            </w:r>
          </w:p>
        </w:tc>
        <w:tc>
          <w:tcPr>
            <w:tcW w:type="dxa" w:w="1080"/>
          </w:tcPr>
          <w:p>
            <w:r>
              <w:t>nan</w:t>
            </w:r>
          </w:p>
        </w:tc>
        <w:tc>
          <w:tcPr>
            <w:tcW w:type="dxa" w:w="1080"/>
          </w:tcPr>
          <w:p>
            <w:r>
              <w:t>nan</w:t>
            </w:r>
          </w:p>
        </w:tc>
        <w:tc>
          <w:tcPr>
            <w:tcW w:type="dxa" w:w="1080"/>
          </w:tcPr>
          <w:p>
            <w:r>
              <w:t>-38.07%</w:t>
            </w:r>
          </w:p>
        </w:tc>
      </w:tr>
    </w:tbl>
    <w:p>
      <w:pPr>
        <w:pStyle w:val="Heading3"/>
      </w:pPr>
      <w:r>
        <w:t>Allocation Stability Index (ASI) Interpretation</w:t>
      </w:r>
    </w:p>
    <w:p>
      <w:r>
        <w:t>The Allocation Stability Index (ASI) is computed independently for each market using the sequence of portfolio weights generated by the corresponding rolling backtest. This ensures that allocation drift reflects the specific volatility structure and optimization dynamics of each regional market rather than a single aggregated portfolio.</w:t>
      </w:r>
    </w:p>
    <w:p>
      <w:r>
        <w:t>The Allocation Stability Index (ASI) measures the magnitude of portfolio weight drift across consecutive rolling rebalancing windows using the L1 norm of weight changes. Lower ASI values indicate more stable portfolio allocations over time.</w:t>
      </w:r>
    </w:p>
    <w:p>
      <w:r>
        <w:t>Earlier iterations of the research pipeline produced ASI values equal to zero due to a structural limitation in the rolling backtest architecture. Specifically, the backtesting module reused the initial portfolio weights across rolling windows instead of recalculating optimal allocations from updated return and covariance estimates.</w:t>
      </w:r>
    </w:p>
    <w:p>
      <w:r>
        <w:t>This issue was corrected by re-integrating the Black–Litterman and Mean–Variance optimizers directly into the rolling estimation loop, triggering full portfolio recalibration every 63 trading days.</w:t>
      </w:r>
    </w:p>
    <w:p>
      <w:r>
        <w:t>Following this correction, the empirical ASI values demonstrate that the Bayesian Black–Litterman framework generates significantly more stable allocations than classical mean–variance optimization. The observed ASI value of 0.000229 for the Black–Litterman model indicates minimal portfolio drift, whereas the Markowitz model exhibits a substantially higher stability index of 0.011708 due to unconstrained sensitivity to estimation error.</w:t>
      </w:r>
    </w:p>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 The substantially lower turnover observed in the Black–Litterman configuration reflects the equilibrium anchoring effect of Bayesian shrinkage, which suppresses extreme allocation shifts commonly produced by unconstrained mean–variance optimization.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 A notable observation is empirical testing during the 2020 India Covid dislocation where the Black-Litterman array registered a volatility spike of 0.91x compared to the Markowitz model's 1.17x. A volatility spike below unity indicates that the variance observed during the crisis period was lower than the historical estimation window. This outcome can occur in emerging markets when the training window already includes periods of elevated volatility.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Crisis</w:t>
            </w:r>
          </w:p>
        </w:tc>
        <w:tc>
          <w:tcPr>
            <w:tcW w:type="dxa" w:w="1440"/>
          </w:tcPr>
          <w:p>
            <w:r>
              <w:t>Market</w:t>
            </w:r>
          </w:p>
        </w:tc>
        <w:tc>
          <w:tcPr>
            <w:tcW w:type="dxa" w:w="1440"/>
          </w:tcPr>
          <w:p>
            <w:r>
              <w:t>Model</w:t>
            </w:r>
          </w:p>
        </w:tc>
        <w:tc>
          <w:tcPr>
            <w:tcW w:type="dxa" w:w="1440"/>
          </w:tcPr>
          <w:p>
            <w:r>
              <w:t>Max Drawdown</w:t>
            </w:r>
          </w:p>
        </w:tc>
        <w:tc>
          <w:tcPr>
            <w:tcW w:type="dxa" w:w="1440"/>
          </w:tcPr>
          <w:p>
            <w:r>
              <w:t>Volatility Spike</w:t>
            </w:r>
          </w:p>
        </w:tc>
        <w:tc>
          <w:tcPr>
            <w:tcW w:type="dxa" w:w="1440"/>
          </w:tcPr>
          <w:p>
            <w:r>
              <w:t>Recovery Time</w:t>
            </w:r>
          </w:p>
        </w:tc>
      </w:tr>
      <w:tr>
        <w:tc>
          <w:tcPr>
            <w:tcW w:type="dxa" w:w="1440"/>
          </w:tcPr>
          <w:p>
            <w:r>
              <w:t>2008_US_GFC</w:t>
            </w:r>
          </w:p>
        </w:tc>
        <w:tc>
          <w:tcPr>
            <w:tcW w:type="dxa" w:w="1440"/>
          </w:tcPr>
          <w:p>
            <w:r>
              <w:t>United States</w:t>
            </w:r>
          </w:p>
        </w:tc>
        <w:tc>
          <w:tcPr>
            <w:tcW w:type="dxa" w:w="1440"/>
          </w:tcPr>
          <w:p>
            <w:r>
              <w:t>Black-Litterman</w:t>
            </w:r>
          </w:p>
        </w:tc>
        <w:tc>
          <w:tcPr>
            <w:tcW w:type="dxa" w:w="1440"/>
          </w:tcPr>
          <w:p>
            <w:r>
              <w:t>-62.66%</w:t>
            </w:r>
          </w:p>
        </w:tc>
        <w:tc>
          <w:tcPr>
            <w:tcW w:type="dxa" w:w="1440"/>
          </w:tcPr>
          <w:p>
            <w:r>
              <w:t>1.82x</w:t>
            </w:r>
          </w:p>
        </w:tc>
        <w:tc>
          <w:tcPr>
            <w:tcW w:type="dxa" w:w="1440"/>
          </w:tcPr>
          <w:p>
            <w:r>
              <w:t>495 days</w:t>
            </w:r>
          </w:p>
        </w:tc>
      </w:tr>
      <w:tr>
        <w:tc>
          <w:tcPr>
            <w:tcW w:type="dxa" w:w="1440"/>
          </w:tcPr>
          <w:p>
            <w:r>
              <w:t>2008_US_GFC</w:t>
            </w:r>
          </w:p>
        </w:tc>
        <w:tc>
          <w:tcPr>
            <w:tcW w:type="dxa" w:w="1440"/>
          </w:tcPr>
          <w:p>
            <w:r>
              <w:t>United States</w:t>
            </w:r>
          </w:p>
        </w:tc>
        <w:tc>
          <w:tcPr>
            <w:tcW w:type="dxa" w:w="1440"/>
          </w:tcPr>
          <w:p>
            <w:r>
              <w:t>Markowitz</w:t>
            </w:r>
          </w:p>
        </w:tc>
        <w:tc>
          <w:tcPr>
            <w:tcW w:type="dxa" w:w="1440"/>
          </w:tcPr>
          <w:p>
            <w:r>
              <w:t>-62.77%</w:t>
            </w:r>
          </w:p>
        </w:tc>
        <w:tc>
          <w:tcPr>
            <w:tcW w:type="dxa" w:w="1440"/>
          </w:tcPr>
          <w:p>
            <w:r>
              <w:t>1.82x</w:t>
            </w:r>
          </w:p>
        </w:tc>
        <w:tc>
          <w:tcPr>
            <w:tcW w:type="dxa" w:w="1440"/>
          </w:tcPr>
          <w:p>
            <w:r>
              <w:t>495 days</w:t>
            </w:r>
          </w:p>
        </w:tc>
      </w:tr>
      <w:tr>
        <w:tc>
          <w:tcPr>
            <w:tcW w:type="dxa" w:w="1440"/>
          </w:tcPr>
          <w:p>
            <w:r>
              <w:t>2015_China_Crash</w:t>
            </w:r>
          </w:p>
        </w:tc>
        <w:tc>
          <w:tcPr>
            <w:tcW w:type="dxa" w:w="1440"/>
          </w:tcPr>
          <w:p>
            <w:r>
              <w:t>China</w:t>
            </w:r>
          </w:p>
        </w:tc>
        <w:tc>
          <w:tcPr>
            <w:tcW w:type="dxa" w:w="1440"/>
          </w:tcPr>
          <w:p>
            <w:r>
              <w:t>Black-Litterman</w:t>
            </w:r>
          </w:p>
        </w:tc>
        <w:tc>
          <w:tcPr>
            <w:tcW w:type="dxa" w:w="1440"/>
          </w:tcPr>
          <w:p>
            <w:r>
              <w:t>-26.00%</w:t>
            </w:r>
          </w:p>
        </w:tc>
        <w:tc>
          <w:tcPr>
            <w:tcW w:type="dxa" w:w="1440"/>
          </w:tcPr>
          <w:p>
            <w:r>
              <w:t>1.63x</w:t>
            </w:r>
          </w:p>
        </w:tc>
        <w:tc>
          <w:tcPr>
            <w:tcW w:type="dxa" w:w="1440"/>
          </w:tcPr>
          <w:p>
            <w:r>
              <w:t>250 days</w:t>
            </w:r>
          </w:p>
        </w:tc>
      </w:tr>
      <w:tr>
        <w:tc>
          <w:tcPr>
            <w:tcW w:type="dxa" w:w="1440"/>
          </w:tcPr>
          <w:p>
            <w:r>
              <w:t>2015_China_Crash</w:t>
            </w:r>
          </w:p>
        </w:tc>
        <w:tc>
          <w:tcPr>
            <w:tcW w:type="dxa" w:w="1440"/>
          </w:tcPr>
          <w:p>
            <w:r>
              <w:t>China</w:t>
            </w:r>
          </w:p>
        </w:tc>
        <w:tc>
          <w:tcPr>
            <w:tcW w:type="dxa" w:w="1440"/>
          </w:tcPr>
          <w:p>
            <w:r>
              <w:t>Markowitz</w:t>
            </w:r>
          </w:p>
        </w:tc>
        <w:tc>
          <w:tcPr>
            <w:tcW w:type="dxa" w:w="1440"/>
          </w:tcPr>
          <w:p>
            <w:r>
              <w:t>-25.38%</w:t>
            </w:r>
          </w:p>
        </w:tc>
        <w:tc>
          <w:tcPr>
            <w:tcW w:type="dxa" w:w="1440"/>
          </w:tcPr>
          <w:p>
            <w:r>
              <w:t>1.63x</w:t>
            </w:r>
          </w:p>
        </w:tc>
        <w:tc>
          <w:tcPr>
            <w:tcW w:type="dxa" w:w="1440"/>
          </w:tcPr>
          <w:p>
            <w:r>
              <w:t>127 days</w:t>
            </w:r>
          </w:p>
        </w:tc>
      </w:tr>
      <w:tr>
        <w:tc>
          <w:tcPr>
            <w:tcW w:type="dxa" w:w="1440"/>
          </w:tcPr>
          <w:p>
            <w:r>
              <w:t>2020_India_Covid</w:t>
            </w:r>
          </w:p>
        </w:tc>
        <w:tc>
          <w:tcPr>
            <w:tcW w:type="dxa" w:w="1440"/>
          </w:tcPr>
          <w:p>
            <w:r>
              <w:t>India</w:t>
            </w:r>
          </w:p>
        </w:tc>
        <w:tc>
          <w:tcPr>
            <w:tcW w:type="dxa" w:w="1440"/>
          </w:tcPr>
          <w:p>
            <w:r>
              <w:t>Black-Litterman</w:t>
            </w:r>
          </w:p>
        </w:tc>
        <w:tc>
          <w:tcPr>
            <w:tcW w:type="dxa" w:w="1440"/>
          </w:tcPr>
          <w:p>
            <w:r>
              <w:t>-49.85%</w:t>
            </w:r>
          </w:p>
        </w:tc>
        <w:tc>
          <w:tcPr>
            <w:tcW w:type="dxa" w:w="1440"/>
          </w:tcPr>
          <w:p>
            <w:r>
              <w:t>0.91x</w:t>
            </w:r>
          </w:p>
        </w:tc>
        <w:tc>
          <w:tcPr>
            <w:tcW w:type="dxa" w:w="1440"/>
          </w:tcPr>
          <w:p>
            <w:r>
              <w:t>378 days</w:t>
            </w:r>
          </w:p>
        </w:tc>
      </w:tr>
      <w:tr>
        <w:tc>
          <w:tcPr>
            <w:tcW w:type="dxa" w:w="1440"/>
          </w:tcPr>
          <w:p>
            <w:r>
              <w:t>2020_India_Covid</w:t>
            </w:r>
          </w:p>
        </w:tc>
        <w:tc>
          <w:tcPr>
            <w:tcW w:type="dxa" w:w="1440"/>
          </w:tcPr>
          <w:p>
            <w:r>
              <w:t>India</w:t>
            </w:r>
          </w:p>
        </w:tc>
        <w:tc>
          <w:tcPr>
            <w:tcW w:type="dxa" w:w="1440"/>
          </w:tcPr>
          <w:p>
            <w:r>
              <w:t>Markowitz</w:t>
            </w:r>
          </w:p>
        </w:tc>
        <w:tc>
          <w:tcPr>
            <w:tcW w:type="dxa" w:w="1440"/>
          </w:tcPr>
          <w:p>
            <w:r>
              <w:t>-49.33%</w:t>
            </w:r>
          </w:p>
        </w:tc>
        <w:tc>
          <w:tcPr>
            <w:tcW w:type="dxa" w:w="1440"/>
          </w:tcPr>
          <w:p>
            <w:r>
              <w:t>1.17x</w:t>
            </w:r>
          </w:p>
        </w:tc>
        <w:tc>
          <w:tcPr>
            <w:tcW w:type="dxa" w:w="1440"/>
          </w:tcPr>
          <w:p>
            <w:r>
              <w:t>378 days</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Analysis</w:t>
            </w:r>
          </w:p>
        </w:tc>
        <w:tc>
          <w:tcPr>
            <w:tcW w:type="dxa" w:w="2880"/>
          </w:tcPr>
          <w:p>
            <w:r>
              <w:t>T-Stat</w:t>
            </w:r>
          </w:p>
        </w:tc>
        <w:tc>
          <w:tcPr>
            <w:tcW w:type="dxa" w:w="2880"/>
          </w:tcPr>
          <w:p>
            <w:r>
              <w:t>P-Value</w:t>
            </w:r>
          </w:p>
        </w:tc>
      </w:tr>
      <w:tr>
        <w:tc>
          <w:tcPr>
            <w:tcW w:type="dxa" w:w="2880"/>
          </w:tcPr>
          <w:p>
            <w:r>
              <w:t>SOE vs Private</w:t>
            </w:r>
          </w:p>
        </w:tc>
        <w:tc>
          <w:tcPr>
            <w:tcW w:type="dxa" w:w="2880"/>
          </w:tcPr>
          <w:p>
            <w:r>
              <w:t>-0.563728652897281</w:t>
            </w:r>
          </w:p>
        </w:tc>
        <w:tc>
          <w:tcPr>
            <w:tcW w:type="dxa" w:w="2880"/>
          </w:tcPr>
          <w:p>
            <w:r>
              <w:t>0.5729549496978085</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 Empirical testing indicates that neither portfolio's performance is driven significantly by pure alpha (alpha = -0.00016 for Black-Litterman and -0.00005 for Markowitz). Instead, portfolio returns are dominated by systematic factor exposure, predominantly market beta, confirming that the out-of-performance profile scales with efficient systemic loading.</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Model</w:t>
            </w:r>
          </w:p>
        </w:tc>
        <w:tc>
          <w:tcPr>
            <w:tcW w:type="dxa" w:w="960"/>
          </w:tcPr>
          <w:p>
            <w:r>
              <w:t>Alpha</w:t>
            </w:r>
          </w:p>
        </w:tc>
        <w:tc>
          <w:tcPr>
            <w:tcW w:type="dxa" w:w="960"/>
          </w:tcPr>
          <w:p>
            <w:r>
              <w:t>Alpha_t_stat</w:t>
            </w:r>
          </w:p>
        </w:tc>
        <w:tc>
          <w:tcPr>
            <w:tcW w:type="dxa" w:w="960"/>
          </w:tcPr>
          <w:p>
            <w:r>
              <w:t>R_squared</w:t>
            </w:r>
          </w:p>
        </w:tc>
        <w:tc>
          <w:tcPr>
            <w:tcW w:type="dxa" w:w="960"/>
          </w:tcPr>
          <w:p>
            <w:r>
              <w:t>MKT_beta</w:t>
            </w:r>
          </w:p>
        </w:tc>
        <w:tc>
          <w:tcPr>
            <w:tcW w:type="dxa" w:w="960"/>
          </w:tcPr>
          <w:p>
            <w:r>
              <w:t>SMB_beta</w:t>
            </w:r>
          </w:p>
        </w:tc>
        <w:tc>
          <w:tcPr>
            <w:tcW w:type="dxa" w:w="960"/>
          </w:tcPr>
          <w:p>
            <w:r>
              <w:t>HML_beta</w:t>
            </w:r>
          </w:p>
        </w:tc>
        <w:tc>
          <w:tcPr>
            <w:tcW w:type="dxa" w:w="960"/>
          </w:tcPr>
          <w:p>
            <w:r>
              <w:t>MOM_beta</w:t>
            </w:r>
          </w:p>
        </w:tc>
        <w:tc>
          <w:tcPr>
            <w:tcW w:type="dxa" w:w="960"/>
          </w:tcPr>
          <w:p>
            <w:r>
              <w:t>P_value_Alpha</w:t>
            </w:r>
          </w:p>
        </w:tc>
      </w:tr>
      <w:tr>
        <w:tc>
          <w:tcPr>
            <w:tcW w:type="dxa" w:w="960"/>
          </w:tcPr>
          <w:p>
            <w:r>
              <w:t>Black-Litterman</w:t>
            </w:r>
          </w:p>
        </w:tc>
        <w:tc>
          <w:tcPr>
            <w:tcW w:type="dxa" w:w="960"/>
          </w:tcPr>
          <w:p>
            <w:r>
              <w:t>-0.0002</w:t>
            </w:r>
          </w:p>
        </w:tc>
        <w:tc>
          <w:tcPr>
            <w:tcW w:type="dxa" w:w="960"/>
          </w:tcPr>
          <w:p>
            <w:r>
              <w:t>-1.2129</w:t>
            </w:r>
          </w:p>
        </w:tc>
        <w:tc>
          <w:tcPr>
            <w:tcW w:type="dxa" w:w="960"/>
          </w:tcPr>
          <w:p>
            <w:r>
              <w:t>0.6346</w:t>
            </w:r>
          </w:p>
        </w:tc>
        <w:tc>
          <w:tcPr>
            <w:tcW w:type="dxa" w:w="960"/>
          </w:tcPr>
          <w:p>
            <w:r>
              <w:t>0.8212</w:t>
            </w:r>
          </w:p>
        </w:tc>
        <w:tc>
          <w:tcPr>
            <w:tcW w:type="dxa" w:w="960"/>
          </w:tcPr>
          <w:p>
            <w:r>
              <w:t>-0.0773</w:t>
            </w:r>
          </w:p>
        </w:tc>
        <w:tc>
          <w:tcPr>
            <w:tcW w:type="dxa" w:w="960"/>
          </w:tcPr>
          <w:p>
            <w:r>
              <w:t>0.0563</w:t>
            </w:r>
          </w:p>
        </w:tc>
        <w:tc>
          <w:tcPr>
            <w:tcW w:type="dxa" w:w="960"/>
          </w:tcPr>
          <w:p>
            <w:r>
              <w:t>0.0046</w:t>
            </w:r>
          </w:p>
        </w:tc>
        <w:tc>
          <w:tcPr>
            <w:tcW w:type="dxa" w:w="960"/>
          </w:tcPr>
          <w:p>
            <w:r>
              <w:t>0.2253</w:t>
            </w:r>
          </w:p>
        </w:tc>
      </w:tr>
      <w:tr>
        <w:tc>
          <w:tcPr>
            <w:tcW w:type="dxa" w:w="960"/>
          </w:tcPr>
          <w:p>
            <w:r>
              <w:t>Markowitz</w:t>
            </w:r>
          </w:p>
        </w:tc>
        <w:tc>
          <w:tcPr>
            <w:tcW w:type="dxa" w:w="960"/>
          </w:tcPr>
          <w:p>
            <w:r>
              <w:t>-0.0003</w:t>
            </w:r>
          </w:p>
        </w:tc>
        <w:tc>
          <w:tcPr>
            <w:tcW w:type="dxa" w:w="960"/>
          </w:tcPr>
          <w:p>
            <w:r>
              <w:t>-1.4184</w:t>
            </w:r>
          </w:p>
        </w:tc>
        <w:tc>
          <w:tcPr>
            <w:tcW w:type="dxa" w:w="960"/>
          </w:tcPr>
          <w:p>
            <w:r>
              <w:t>0.4860</w:t>
            </w:r>
          </w:p>
        </w:tc>
        <w:tc>
          <w:tcPr>
            <w:tcW w:type="dxa" w:w="960"/>
          </w:tcPr>
          <w:p>
            <w:r>
              <w:t>0.9040</w:t>
            </w:r>
          </w:p>
        </w:tc>
        <w:tc>
          <w:tcPr>
            <w:tcW w:type="dxa" w:w="960"/>
          </w:tcPr>
          <w:p>
            <w:r>
              <w:t>-0.1138</w:t>
            </w:r>
          </w:p>
        </w:tc>
        <w:tc>
          <w:tcPr>
            <w:tcW w:type="dxa" w:w="960"/>
          </w:tcPr>
          <w:p>
            <w:r>
              <w:t>0.0614</w:t>
            </w:r>
          </w:p>
        </w:tc>
        <w:tc>
          <w:tcPr>
            <w:tcW w:type="dxa" w:w="960"/>
          </w:tcPr>
          <w:p>
            <w:r>
              <w:t>0.0638</w:t>
            </w:r>
          </w:p>
        </w:tc>
        <w:tc>
          <w:tcPr>
            <w:tcW w:type="dxa" w:w="960"/>
          </w:tcPr>
          <w:p>
            <w:r>
              <w:t>0.1562</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0.0100</w:t>
            </w:r>
          </w:p>
        </w:tc>
        <w:tc>
          <w:tcPr>
            <w:tcW w:type="dxa" w:w="4320"/>
          </w:tcPr>
          <w:p>
            <w:r>
              <w:t>0.3993</w:t>
            </w:r>
          </w:p>
        </w:tc>
      </w:tr>
      <w:tr>
        <w:tc>
          <w:tcPr>
            <w:tcW w:type="dxa" w:w="4320"/>
          </w:tcPr>
          <w:p>
            <w:r>
              <w:t>0.0500</w:t>
            </w:r>
          </w:p>
        </w:tc>
        <w:tc>
          <w:tcPr>
            <w:tcW w:type="dxa" w:w="4320"/>
          </w:tcPr>
          <w:p>
            <w:r>
              <w:t>0.3993</w:t>
            </w:r>
          </w:p>
        </w:tc>
      </w:tr>
      <w:tr>
        <w:tc>
          <w:tcPr>
            <w:tcW w:type="dxa" w:w="4320"/>
          </w:tcPr>
          <w:p>
            <w:r>
              <w:t>0.1000</w:t>
            </w:r>
          </w:p>
        </w:tc>
        <w:tc>
          <w:tcPr>
            <w:tcW w:type="dxa" w:w="4320"/>
          </w:tcPr>
          <w:p>
            <w:r>
              <w:t>0.3993</w:t>
            </w:r>
          </w:p>
        </w:tc>
      </w:tr>
      <w:tr>
        <w:tc>
          <w:tcPr>
            <w:tcW w:type="dxa" w:w="4320"/>
          </w:tcPr>
          <w:p>
            <w:r>
              <w:t>0.1500</w:t>
            </w:r>
          </w:p>
        </w:tc>
        <w:tc>
          <w:tcPr>
            <w:tcW w:type="dxa" w:w="4320"/>
          </w:tcPr>
          <w:p>
            <w:r>
              <w:t>0.3993</w:t>
            </w:r>
          </w:p>
        </w:tc>
      </w:tr>
      <w:tr>
        <w:tc>
          <w:tcPr>
            <w:tcW w:type="dxa" w:w="4320"/>
          </w:tcPr>
          <w:p>
            <w:r>
              <w:t>0.2000</w:t>
            </w:r>
          </w:p>
        </w:tc>
        <w:tc>
          <w:tcPr>
            <w:tcW w:type="dxa" w:w="4320"/>
          </w:tcPr>
          <w:p>
            <w:r>
              <w:t>0.3993</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 Black-Litterman allocations may perform better during high-uncertainty regimes due to Bayesian shrinkage anchoring estimates when historical variance explodes unpredictably.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Regime</w:t>
            </w:r>
          </w:p>
        </w:tc>
        <w:tc>
          <w:tcPr>
            <w:tcW w:type="dxa" w:w="1728"/>
          </w:tcPr>
          <w:p>
            <w:r>
              <w:t>BL Sharpe</w:t>
            </w:r>
          </w:p>
        </w:tc>
        <w:tc>
          <w:tcPr>
            <w:tcW w:type="dxa" w:w="1728"/>
          </w:tcPr>
          <w:p>
            <w:r>
              <w:t>Markowitz Sharpe</w:t>
            </w:r>
          </w:p>
        </w:tc>
        <w:tc>
          <w:tcPr>
            <w:tcW w:type="dxa" w:w="1728"/>
          </w:tcPr>
          <w:p>
            <w:r>
              <w:t>BL Return</w:t>
            </w:r>
          </w:p>
        </w:tc>
        <w:tc>
          <w:tcPr>
            <w:tcW w:type="dxa" w:w="1728"/>
          </w:tcPr>
          <w:p>
            <w:r>
              <w:t>MV Return</w:t>
            </w:r>
          </w:p>
        </w:tc>
      </w:tr>
      <w:tr>
        <w:tc>
          <w:tcPr>
            <w:tcW w:type="dxa" w:w="1728"/>
          </w:tcPr>
          <w:p>
            <w:r>
              <w:t>Low_Vol</w:t>
            </w:r>
          </w:p>
        </w:tc>
        <w:tc>
          <w:tcPr>
            <w:tcW w:type="dxa" w:w="1728"/>
          </w:tcPr>
          <w:p>
            <w:r>
              <w:t>1.4665</w:t>
            </w:r>
          </w:p>
        </w:tc>
        <w:tc>
          <w:tcPr>
            <w:tcW w:type="dxa" w:w="1728"/>
          </w:tcPr>
          <w:p>
            <w:r>
              <w:t>1.4922</w:t>
            </w:r>
          </w:p>
        </w:tc>
        <w:tc>
          <w:tcPr>
            <w:tcW w:type="dxa" w:w="1728"/>
          </w:tcPr>
          <w:p>
            <w:r>
              <w:t>0.1665</w:t>
            </w:r>
          </w:p>
        </w:tc>
        <w:tc>
          <w:tcPr>
            <w:tcW w:type="dxa" w:w="1728"/>
          </w:tcPr>
          <w:p>
            <w:r>
              <w:t>0.2064</w:t>
            </w:r>
          </w:p>
        </w:tc>
      </w:tr>
      <w:tr>
        <w:tc>
          <w:tcPr>
            <w:tcW w:type="dxa" w:w="1728"/>
          </w:tcPr>
          <w:p>
            <w:r>
              <w:t>High_Vol</w:t>
            </w:r>
          </w:p>
        </w:tc>
        <w:tc>
          <w:tcPr>
            <w:tcW w:type="dxa" w:w="1728"/>
          </w:tcPr>
          <w:p>
            <w:r>
              <w:t>-0.6439</w:t>
            </w:r>
          </w:p>
        </w:tc>
        <w:tc>
          <w:tcPr>
            <w:tcW w:type="dxa" w:w="1728"/>
          </w:tcPr>
          <w:p>
            <w:r>
              <w:t>-1.0077</w:t>
            </w:r>
          </w:p>
        </w:tc>
        <w:tc>
          <w:tcPr>
            <w:tcW w:type="dxa" w:w="1728"/>
          </w:tcPr>
          <w:p>
            <w:r>
              <w:t>-0.2007</w:t>
            </w:r>
          </w:p>
        </w:tc>
        <w:tc>
          <w:tcPr>
            <w:tcW w:type="dxa" w:w="1728"/>
          </w:tcPr>
          <w:p>
            <w:r>
              <w:t>-0.3938</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 Additionally, ETF proxy limitations suffer from dividend reinvestment friction differences, transaction cost simplifications (0.10%) do not accurately map the variable illiquidity gaps observed during outright crisis regimes, and structural inferences are inherently restricted by market microstructure differences and sample selection constraints.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