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78" w:lineRule="auto"/>
      </w:pPr>
      <w:r>
        <w:rPr>
          <w:rFonts w:ascii="Aptos" w:hAnsi="Aptos"/>
          <w:b/>
          <w:color w:val="00A6A6"/>
          <w:sz w:val="18"/>
        </w:rPr>
        <w:t>GARMENT STORE MANAGEMENT PLATFORM</w:t>
      </w:r>
    </w:p>
    <w:p>
      <w:pPr>
        <w:pStyle w:val="Title"/>
        <w:spacing w:before="0" w:after="60" w:line="278" w:lineRule="auto"/>
      </w:pPr>
      <w:r>
        <w:rPr>
          <w:rFonts w:ascii="Aptos" w:hAnsi="Aptos"/>
          <w:b/>
          <w:color w:val="102A43"/>
          <w:sz w:val="62"/>
        </w:rPr>
        <w:t>Garmetix</w:t>
      </w:r>
    </w:p>
    <w:p>
      <w:pPr>
        <w:pStyle w:val="Subtitle"/>
        <w:spacing w:before="0" w:after="160" w:line="278" w:lineRule="auto"/>
      </w:pPr>
      <w:r>
        <w:rPr>
          <w:rFonts w:ascii="Aptos" w:hAnsi="Aptos"/>
          <w:b w:val="0"/>
          <w:color w:val="52606D"/>
          <w:sz w:val="34"/>
        </w:rPr>
        <w:t>Stage 8 Development Roadmap</w:t>
      </w:r>
    </w:p>
    <w:p>
      <w:pPr>
        <w:spacing w:before="0" w:after="480" w:line="278" w:lineRule="auto"/>
      </w:pPr>
      <w:r>
        <w:rPr>
          <w:rFonts w:ascii="Aptos" w:hAnsi="Aptos"/>
          <w:b/>
          <w:color w:val="00A6A6"/>
          <w:sz w:val="23"/>
        </w:rPr>
        <w:t>From Stage 7M / Version 3.12.0 to production-ready v4.x</w:t>
      </w:r>
    </w:p>
    <w:tbl>
      <w:tblPr>
        <w:tblStyle w:val="TableGrid"/>
        <w:tblW w:type="dxa" w:w="9360"/>
        <w:jc w:val="center"/>
        <w:tblLayout w:type="fixed"/>
        <w:tblLook w:firstColumn="1" w:firstRow="1" w:lastColumn="0" w:lastRow="0" w:noHBand="0" w:noVBand="1" w:val="04A0"/>
      </w:tblPr>
      <w:tblGrid>
        <w:gridCol w:w="2100"/>
        <w:gridCol w:w="7260"/>
      </w:tblGrid>
      <w:tr>
        <w:tc>
          <w:tcPr>
            <w:tcW w:type="dxa" w:w="2100"/>
            <w:tcMar>
              <w:top w:w="90" w:type="dxa"/>
              <w:start w:w="120" w:type="dxa"/>
              <w:bottom w:w="90" w:type="dxa"/>
              <w:end w:w="120" w:type="dxa"/>
            </w:tcMar>
            <w:shd w:fill="E8EEF5"/>
            <w:vAlign w:val="center"/>
          </w:tcPr>
          <w:p>
            <w:pPr>
              <w:spacing w:after="0"/>
            </w:pPr>
            <w:r>
              <w:rPr>
                <w:rFonts w:ascii="Aptos" w:hAnsi="Aptos"/>
                <w:b/>
                <w:color w:val="102A43"/>
                <w:sz w:val="19"/>
              </w:rPr>
              <w:t>Current baseline</w:t>
            </w:r>
          </w:p>
        </w:tc>
        <w:tc>
          <w:tcPr>
            <w:tcW w:type="dxa" w:w="7260"/>
            <w:tcMar>
              <w:top w:w="90" w:type="dxa"/>
              <w:start w:w="120" w:type="dxa"/>
              <w:bottom w:w="90" w:type="dxa"/>
              <w:end w:w="120" w:type="dxa"/>
            </w:tcMar>
            <w:vAlign w:val="center"/>
          </w:tcPr>
          <w:p>
            <w:pPr>
              <w:spacing w:after="0"/>
            </w:pPr>
            <w:r>
              <w:rPr>
                <w:rFonts w:ascii="Aptos" w:hAnsi="Aptos"/>
                <w:b w:val="0"/>
                <w:color w:val="1F2933"/>
                <w:sz w:val="19"/>
              </w:rPr>
              <w:t>Stage 7M - Pre-v4.0 UI Naming and Menu Cleanup</w:t>
            </w:r>
          </w:p>
        </w:tc>
      </w:tr>
      <w:tr>
        <w:tc>
          <w:tcPr>
            <w:tcW w:type="dxa" w:w="2100"/>
            <w:tcMar>
              <w:top w:w="90" w:type="dxa"/>
              <w:start w:w="120" w:type="dxa"/>
              <w:bottom w:w="90" w:type="dxa"/>
              <w:end w:w="120" w:type="dxa"/>
            </w:tcMar>
            <w:shd w:fill="E8EEF5"/>
            <w:vAlign w:val="center"/>
          </w:tcPr>
          <w:p>
            <w:pPr>
              <w:spacing w:after="0"/>
            </w:pPr>
            <w:r>
              <w:rPr>
                <w:rFonts w:ascii="Aptos" w:hAnsi="Aptos"/>
                <w:b/>
                <w:color w:val="102A43"/>
                <w:sz w:val="19"/>
              </w:rPr>
              <w:t>Version / build</w:t>
            </w:r>
          </w:p>
        </w:tc>
        <w:tc>
          <w:tcPr>
            <w:tcW w:type="dxa" w:w="7260"/>
            <w:tcMar>
              <w:top w:w="90" w:type="dxa"/>
              <w:start w:w="120" w:type="dxa"/>
              <w:bottom w:w="90" w:type="dxa"/>
              <w:end w:w="120" w:type="dxa"/>
            </w:tcMar>
            <w:vAlign w:val="center"/>
          </w:tcPr>
          <w:p>
            <w:pPr>
              <w:spacing w:after="0"/>
            </w:pPr>
            <w:r>
              <w:rPr>
                <w:rFonts w:ascii="Aptos" w:hAnsi="Aptos"/>
                <w:b w:val="0"/>
                <w:color w:val="1F2933"/>
                <w:sz w:val="19"/>
              </w:rPr>
              <w:t>3.12.0 / GARMETIX-7M-20260611-3120</w:t>
            </w:r>
          </w:p>
        </w:tc>
      </w:tr>
      <w:tr>
        <w:tc>
          <w:tcPr>
            <w:tcW w:type="dxa" w:w="2100"/>
            <w:tcMar>
              <w:top w:w="90" w:type="dxa"/>
              <w:start w:w="120" w:type="dxa"/>
              <w:bottom w:w="90" w:type="dxa"/>
              <w:end w:w="120" w:type="dxa"/>
            </w:tcMar>
            <w:shd w:fill="E8EEF5"/>
            <w:vAlign w:val="center"/>
          </w:tcPr>
          <w:p>
            <w:pPr>
              <w:spacing w:after="0"/>
            </w:pPr>
            <w:r>
              <w:rPr>
                <w:rFonts w:ascii="Aptos" w:hAnsi="Aptos"/>
                <w:b/>
                <w:color w:val="102A43"/>
                <w:sz w:val="19"/>
              </w:rPr>
              <w:t>Branch / commit</w:t>
            </w:r>
          </w:p>
        </w:tc>
        <w:tc>
          <w:tcPr>
            <w:tcW w:type="dxa" w:w="7260"/>
            <w:tcMar>
              <w:top w:w="90" w:type="dxa"/>
              <w:start w:w="120" w:type="dxa"/>
              <w:bottom w:w="90" w:type="dxa"/>
              <w:end w:w="120" w:type="dxa"/>
            </w:tcMar>
            <w:vAlign w:val="center"/>
          </w:tcPr>
          <w:p>
            <w:pPr>
              <w:spacing w:after="0"/>
            </w:pPr>
            <w:r>
              <w:rPr>
                <w:rFonts w:ascii="Aptos" w:hAnsi="Aptos"/>
                <w:b w:val="0"/>
                <w:color w:val="1F2933"/>
                <w:sz w:val="19"/>
              </w:rPr>
              <w:t>Version3.0 / 6d440a5</w:t>
            </w:r>
          </w:p>
        </w:tc>
      </w:tr>
      <w:tr>
        <w:tc>
          <w:tcPr>
            <w:tcW w:type="dxa" w:w="2100"/>
            <w:tcMar>
              <w:top w:w="90" w:type="dxa"/>
              <w:start w:w="120" w:type="dxa"/>
              <w:bottom w:w="90" w:type="dxa"/>
              <w:end w:w="120" w:type="dxa"/>
            </w:tcMar>
            <w:shd w:fill="E8EEF5"/>
            <w:vAlign w:val="center"/>
          </w:tcPr>
          <w:p>
            <w:pPr>
              <w:spacing w:after="0"/>
            </w:pPr>
            <w:r>
              <w:rPr>
                <w:rFonts w:ascii="Aptos" w:hAnsi="Aptos"/>
                <w:b/>
                <w:color w:val="102A43"/>
                <w:sz w:val="19"/>
              </w:rPr>
              <w:t>Prepared</w:t>
            </w:r>
          </w:p>
        </w:tc>
        <w:tc>
          <w:tcPr>
            <w:tcW w:type="dxa" w:w="7260"/>
            <w:tcMar>
              <w:top w:w="90" w:type="dxa"/>
              <w:start w:w="120" w:type="dxa"/>
              <w:bottom w:w="90" w:type="dxa"/>
              <w:end w:w="120" w:type="dxa"/>
            </w:tcMar>
            <w:vAlign w:val="center"/>
          </w:tcPr>
          <w:p>
            <w:pPr>
              <w:spacing w:after="0"/>
            </w:pPr>
            <w:r>
              <w:rPr>
                <w:rFonts w:ascii="Aptos" w:hAnsi="Aptos"/>
                <w:b w:val="0"/>
                <w:color w:val="1F2933"/>
                <w:sz w:val="19"/>
              </w:rPr>
              <w:t>11 June 2026</w:t>
            </w:r>
          </w:p>
        </w:tc>
      </w:tr>
      <w:tr>
        <w:tc>
          <w:tcPr>
            <w:tcW w:type="dxa" w:w="2100"/>
            <w:tcMar>
              <w:top w:w="90" w:type="dxa"/>
              <w:start w:w="120" w:type="dxa"/>
              <w:bottom w:w="90" w:type="dxa"/>
              <w:end w:w="120" w:type="dxa"/>
            </w:tcMar>
            <w:shd w:fill="E8EEF5"/>
            <w:vAlign w:val="center"/>
          </w:tcPr>
          <w:p>
            <w:pPr>
              <w:spacing w:after="0"/>
            </w:pPr>
            <w:r>
              <w:rPr>
                <w:rFonts w:ascii="Aptos" w:hAnsi="Aptos"/>
                <w:b/>
                <w:color w:val="102A43"/>
                <w:sz w:val="19"/>
              </w:rPr>
              <w:t>Roadmap scope</w:t>
            </w:r>
          </w:p>
        </w:tc>
        <w:tc>
          <w:tcPr>
            <w:tcW w:type="dxa" w:w="7260"/>
            <w:tcMar>
              <w:top w:w="90" w:type="dxa"/>
              <w:start w:w="120" w:type="dxa"/>
              <w:bottom w:w="90" w:type="dxa"/>
              <w:end w:w="120" w:type="dxa"/>
            </w:tcMar>
            <w:vAlign w:val="center"/>
          </w:tcPr>
          <w:p>
            <w:pPr>
              <w:spacing w:after="0"/>
            </w:pPr>
            <w:r>
              <w:rPr>
                <w:rFonts w:ascii="Aptos" w:hAnsi="Aptos"/>
                <w:b w:val="0"/>
                <w:color w:val="1F2933"/>
                <w:sz w:val="19"/>
              </w:rPr>
              <w:t>Baseline stabilization, UI, access, returns, inventory, accounting, tests, integrations, and go-live</w:t>
            </w:r>
          </w:p>
        </w:tc>
      </w:tr>
    </w:tbl>
    <w:p>
      <w:pPr>
        <w:spacing w:after="28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DFF7F6"/>
          </w:tcPr>
          <w:p>
            <w:pPr>
              <w:spacing w:after="40"/>
            </w:pPr>
            <w:r>
              <w:rPr>
                <w:rFonts w:ascii="Aptos" w:hAnsi="Aptos"/>
                <w:b/>
                <w:color w:val="00A6A6"/>
                <w:sz w:val="19"/>
              </w:rPr>
              <w:t xml:space="preserve">Purpose: </w:t>
            </w:r>
            <w:r>
              <w:rPr>
                <w:rFonts w:ascii="Aptos" w:hAnsi="Aptos"/>
                <w:b w:val="0"/>
                <w:color w:val="1F2933"/>
                <w:sz w:val="19"/>
              </w:rPr>
              <w:t>Define the implementation sequence, boundaries, acceptance evidence, and production gates for the next development cycle while preserving the Stage 7M user experience and accounting architecture.</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4F6F9"/>
          </w:tcPr>
          <w:p>
            <w:pPr>
              <w:spacing w:after="40"/>
            </w:pPr>
            <w:r>
              <w:rPr>
                <w:rFonts w:ascii="Aptos" w:hAnsi="Aptos"/>
                <w:b/>
                <w:color w:val="8A5A00"/>
                <w:sz w:val="19"/>
              </w:rPr>
              <w:t xml:space="preserve">Source note: </w:t>
            </w:r>
            <w:r>
              <w:rPr>
                <w:rFonts w:ascii="Aptos" w:hAnsi="Aptos"/>
                <w:b w:val="0"/>
                <w:color w:val="1F2933"/>
                <w:sz w:val="19"/>
              </w:rPr>
              <w:t>Stage 8A and Stage 8B incorporate the Stage 8 direction preserved locally from the web-chat planning history. The private 'Garmetix Web 2' conversation itself was not available as an exported or public transcript, so this report does not invent or quote unseen chat content. Stage 8C through Stage 8G consolidate the current repository audit and remaining engineering gaps.</w:t>
            </w:r>
          </w:p>
        </w:tc>
      </w:tr>
    </w:tbl>
    <w:p>
      <w:pPr>
        <w:spacing w:after="20"/>
      </w:pPr>
    </w:p>
    <w:p>
      <w:r>
        <w:br w:type="page"/>
      </w:r>
    </w:p>
    <w:p>
      <w:pPr>
        <w:pStyle w:val="Heading1"/>
        <w:spacing w:before="0" w:after="120" w:line="278" w:lineRule="auto"/>
      </w:pPr>
      <w:r>
        <w:rPr>
          <w:rFonts w:ascii="Aptos" w:hAnsi="Aptos"/>
          <w:b w:val="0"/>
          <w:color w:val="1F2933"/>
          <w:sz w:val="21"/>
        </w:rPr>
        <w:t>Executive Summary</w:t>
      </w:r>
    </w:p>
    <w:p>
      <w:pPr>
        <w:spacing w:before="0" w:after="120" w:line="278" w:lineRule="auto"/>
      </w:pPr>
      <w:r>
        <w:rPr>
          <w:rFonts w:ascii="Aptos" w:hAnsi="Aptos"/>
          <w:b w:val="0"/>
          <w:color w:val="1F2933"/>
          <w:sz w:val="21"/>
        </w:rPr>
        <w:t>Garmetix already contains broad operational coverage across billing, purchase, inventory, accounting, banking, GST, HR, payroll, access control, backup, reporting, audit, and Oracle secondary synchronization. Stage 8 is therefore a hardening and completion program rather than a restart.</w:t>
      </w:r>
    </w:p>
    <w:p>
      <w:pPr>
        <w:spacing w:before="0" w:after="120" w:line="278" w:lineRule="auto"/>
      </w:pPr>
      <w:r>
        <w:rPr>
          <w:rFonts w:ascii="Aptos" w:hAnsi="Aptos"/>
          <w:b w:val="0"/>
          <w:color w:val="1F2933"/>
          <w:sz w:val="21"/>
        </w:rPr>
        <w:t>The implementation sequence begins with known baseline defects, then standardizes the user experience, strengthens access administration, formalizes purchase-return and inventory documents, improves accounting fidelity, introduces dependable automated testing, and finally validates external integrations and deployment.</w:t>
      </w:r>
    </w:p>
    <w:tbl>
      <w:tblPr>
        <w:tblStyle w:val="TableGrid"/>
        <w:tblW w:type="dxa" w:w="9360"/>
        <w:jc w:val="center"/>
        <w:tblLayout w:type="fixed"/>
        <w:tblLook w:firstColumn="1" w:firstRow="1" w:lastColumn="0" w:lastRow="0" w:noHBand="0" w:noVBand="1" w:val="04A0"/>
      </w:tblPr>
      <w:tblGrid>
        <w:gridCol w:w="1280"/>
        <w:gridCol w:w="2520"/>
        <w:gridCol w:w="3160"/>
        <w:gridCol w:w="2400"/>
      </w:tblGrid>
      <w:tr>
        <w:trPr>
          <w:tblHeader w:val="true"/>
        </w:trPr>
        <w:tc>
          <w:tcPr>
            <w:tcW w:type="dxa" w:w="1280"/>
            <w:tcMar>
              <w:top w:w="90" w:type="dxa"/>
              <w:start w:w="120" w:type="dxa"/>
              <w:bottom w:w="90" w:type="dxa"/>
              <w:end w:w="120" w:type="dxa"/>
            </w:tcMar>
            <w:shd w:fill="102A43"/>
          </w:tcPr>
          <w:p>
            <w:pPr>
              <w:spacing w:after="0"/>
            </w:pPr>
            <w:r>
              <w:rPr>
                <w:rFonts w:ascii="Aptos" w:hAnsi="Aptos"/>
                <w:b/>
                <w:color w:val="FFFFFF"/>
                <w:sz w:val="17"/>
              </w:rPr>
              <w:t>Phase</w:t>
            </w:r>
          </w:p>
        </w:tc>
        <w:tc>
          <w:tcPr>
            <w:tcW w:type="dxa" w:w="2520"/>
            <w:tcMar>
              <w:top w:w="90" w:type="dxa"/>
              <w:start w:w="120" w:type="dxa"/>
              <w:bottom w:w="90" w:type="dxa"/>
              <w:end w:w="120" w:type="dxa"/>
            </w:tcMar>
            <w:shd w:fill="102A43"/>
          </w:tcPr>
          <w:p>
            <w:pPr>
              <w:spacing w:after="0"/>
            </w:pPr>
            <w:r>
              <w:rPr>
                <w:rFonts w:ascii="Aptos" w:hAnsi="Aptos"/>
                <w:b/>
                <w:color w:val="FFFFFF"/>
                <w:sz w:val="17"/>
              </w:rPr>
              <w:t>Primary outcome</w:t>
            </w:r>
          </w:p>
        </w:tc>
        <w:tc>
          <w:tcPr>
            <w:tcW w:type="dxa" w:w="3160"/>
            <w:tcMar>
              <w:top w:w="90" w:type="dxa"/>
              <w:start w:w="120" w:type="dxa"/>
              <w:bottom w:w="90" w:type="dxa"/>
              <w:end w:w="120" w:type="dxa"/>
            </w:tcMar>
            <w:shd w:fill="102A43"/>
          </w:tcPr>
          <w:p>
            <w:pPr>
              <w:spacing w:after="0"/>
            </w:pPr>
            <w:r>
              <w:rPr>
                <w:rFonts w:ascii="Aptos" w:hAnsi="Aptos"/>
                <w:b/>
                <w:color w:val="FFFFFF"/>
                <w:sz w:val="17"/>
              </w:rPr>
              <w:t>Business value</w:t>
            </w:r>
          </w:p>
        </w:tc>
        <w:tc>
          <w:tcPr>
            <w:tcW w:type="dxa" w:w="2400"/>
            <w:tcMar>
              <w:top w:w="90" w:type="dxa"/>
              <w:start w:w="120" w:type="dxa"/>
              <w:bottom w:w="90" w:type="dxa"/>
              <w:end w:w="120" w:type="dxa"/>
            </w:tcMar>
            <w:shd w:fill="102A43"/>
          </w:tcPr>
          <w:p>
            <w:pPr>
              <w:spacing w:after="0"/>
            </w:pPr>
            <w:r>
              <w:rPr>
                <w:rFonts w:ascii="Aptos" w:hAnsi="Aptos"/>
                <w:b/>
                <w:color w:val="FFFFFF"/>
                <w:sz w:val="17"/>
              </w:rPr>
              <w:t>Release gate</w:t>
            </w:r>
          </w:p>
        </w:tc>
      </w:tr>
      <w:tr>
        <w:tc>
          <w:tcPr>
            <w:tcW w:type="dxa" w:w="1280"/>
            <w:shd w:fill="DFF7F6"/>
          </w:tcPr>
          <w:p>
            <w:pPr>
              <w:spacing w:after="0"/>
            </w:pPr>
            <w:r>
              <w:rPr>
                <w:rFonts w:ascii="Aptos" w:hAnsi="Aptos"/>
                <w:b/>
                <w:color w:val="102A43"/>
                <w:sz w:val="16"/>
              </w:rPr>
              <w:t>P0</w:t>
            </w:r>
          </w:p>
        </w:tc>
        <w:tc>
          <w:tcPr>
            <w:tcW w:type="dxa" w:w="2520"/>
          </w:tcPr>
          <w:p>
            <w:pPr>
              <w:spacing w:after="0"/>
            </w:pPr>
            <w:r>
              <w:rPr>
                <w:rFonts w:ascii="Aptos" w:hAnsi="Aptos"/>
                <w:b w:val="0"/>
                <w:color w:val="1F2933"/>
                <w:sz w:val="16"/>
              </w:rPr>
              <w:t>Stable baseline</w:t>
            </w:r>
          </w:p>
        </w:tc>
        <w:tc>
          <w:tcPr>
            <w:tcW w:type="dxa" w:w="3160"/>
          </w:tcPr>
          <w:p>
            <w:pPr>
              <w:spacing w:after="0"/>
            </w:pPr>
            <w:r>
              <w:rPr>
                <w:rFonts w:ascii="Aptos" w:hAnsi="Aptos"/>
                <w:b w:val="0"/>
                <w:color w:val="1F2933"/>
                <w:sz w:val="16"/>
              </w:rPr>
              <w:t>Reliable dashboard, clean warnings, repeatable validation</w:t>
            </w:r>
          </w:p>
        </w:tc>
        <w:tc>
          <w:tcPr>
            <w:tcW w:type="dxa" w:w="2400"/>
          </w:tcPr>
          <w:p>
            <w:pPr>
              <w:spacing w:after="0"/>
            </w:pPr>
            <w:r>
              <w:rPr>
                <w:rFonts w:ascii="Aptos" w:hAnsi="Aptos"/>
                <w:b w:val="0"/>
                <w:color w:val="1F2933"/>
                <w:sz w:val="16"/>
              </w:rPr>
              <w:t>No known response-body defect</w:t>
            </w:r>
          </w:p>
        </w:tc>
      </w:tr>
      <w:tr>
        <w:tc>
          <w:tcPr>
            <w:tcW w:type="dxa" w:w="1280"/>
            <w:shd w:fill="DFF7F6"/>
          </w:tcPr>
          <w:p>
            <w:pPr>
              <w:spacing w:after="0"/>
            </w:pPr>
            <w:r>
              <w:rPr>
                <w:rFonts w:ascii="Aptos" w:hAnsi="Aptos"/>
                <w:b/>
                <w:color w:val="102A43"/>
                <w:sz w:val="16"/>
              </w:rPr>
              <w:t>8A</w:t>
            </w:r>
          </w:p>
        </w:tc>
        <w:tc>
          <w:tcPr>
            <w:tcW w:type="dxa" w:w="2520"/>
          </w:tcPr>
          <w:p>
            <w:pPr>
              <w:spacing w:after="0"/>
            </w:pPr>
            <w:r>
              <w:rPr>
                <w:rFonts w:ascii="Aptos" w:hAnsi="Aptos"/>
                <w:b w:val="0"/>
                <w:color w:val="1F2933"/>
                <w:sz w:val="16"/>
              </w:rPr>
              <w:t>Consistent v4.0 UI</w:t>
            </w:r>
          </w:p>
        </w:tc>
        <w:tc>
          <w:tcPr>
            <w:tcW w:type="dxa" w:w="3160"/>
          </w:tcPr>
          <w:p>
            <w:pPr>
              <w:spacing w:after="0"/>
            </w:pPr>
            <w:r>
              <w:rPr>
                <w:rFonts w:ascii="Aptos" w:hAnsi="Aptos"/>
                <w:b w:val="0"/>
                <w:color w:val="1F2933"/>
                <w:sz w:val="16"/>
              </w:rPr>
              <w:t>Faster daily work and fewer layout errors</w:t>
            </w:r>
          </w:p>
        </w:tc>
        <w:tc>
          <w:tcPr>
            <w:tcW w:type="dxa" w:w="2400"/>
          </w:tcPr>
          <w:p>
            <w:pPr>
              <w:spacing w:after="0"/>
            </w:pPr>
            <w:r>
              <w:rPr>
                <w:rFonts w:ascii="Aptos" w:hAnsi="Aptos"/>
                <w:b w:val="0"/>
                <w:color w:val="1F2933"/>
                <w:sz w:val="16"/>
              </w:rPr>
              <w:t>All UI Audit pages reviewed</w:t>
            </w:r>
          </w:p>
        </w:tc>
      </w:tr>
      <w:tr>
        <w:tc>
          <w:tcPr>
            <w:tcW w:type="dxa" w:w="1280"/>
            <w:shd w:fill="DFF7F6"/>
          </w:tcPr>
          <w:p>
            <w:pPr>
              <w:spacing w:after="0"/>
            </w:pPr>
            <w:r>
              <w:rPr>
                <w:rFonts w:ascii="Aptos" w:hAnsi="Aptos"/>
                <w:b/>
                <w:color w:val="102A43"/>
                <w:sz w:val="16"/>
              </w:rPr>
              <w:t>8B</w:t>
            </w:r>
          </w:p>
        </w:tc>
        <w:tc>
          <w:tcPr>
            <w:tcW w:type="dxa" w:w="2520"/>
          </w:tcPr>
          <w:p>
            <w:pPr>
              <w:spacing w:after="0"/>
            </w:pPr>
            <w:r>
              <w:rPr>
                <w:rFonts w:ascii="Aptos" w:hAnsi="Aptos"/>
                <w:b w:val="0"/>
                <w:color w:val="1F2933"/>
                <w:sz w:val="16"/>
              </w:rPr>
              <w:t>Permission confidence</w:t>
            </w:r>
          </w:p>
        </w:tc>
        <w:tc>
          <w:tcPr>
            <w:tcW w:type="dxa" w:w="3160"/>
          </w:tcPr>
          <w:p>
            <w:pPr>
              <w:spacing w:after="0"/>
            </w:pPr>
            <w:r>
              <w:rPr>
                <w:rFonts w:ascii="Aptos" w:hAnsi="Aptos"/>
                <w:b w:val="0"/>
                <w:color w:val="1F2933"/>
                <w:sz w:val="16"/>
              </w:rPr>
              <w:t>Correct role boundaries and administration</w:t>
            </w:r>
          </w:p>
        </w:tc>
        <w:tc>
          <w:tcPr>
            <w:tcW w:type="dxa" w:w="2400"/>
          </w:tcPr>
          <w:p>
            <w:pPr>
              <w:spacing w:after="0"/>
            </w:pPr>
            <w:r>
              <w:rPr>
                <w:rFonts w:ascii="Aptos" w:hAnsi="Aptos"/>
                <w:b w:val="0"/>
                <w:color w:val="1F2933"/>
                <w:sz w:val="16"/>
              </w:rPr>
              <w:t>Role matrix passes</w:t>
            </w:r>
          </w:p>
        </w:tc>
      </w:tr>
      <w:tr>
        <w:tc>
          <w:tcPr>
            <w:tcW w:type="dxa" w:w="1280"/>
            <w:shd w:fill="DFF7F6"/>
          </w:tcPr>
          <w:p>
            <w:pPr>
              <w:spacing w:after="0"/>
            </w:pPr>
            <w:r>
              <w:rPr>
                <w:rFonts w:ascii="Aptos" w:hAnsi="Aptos"/>
                <w:b/>
                <w:color w:val="102A43"/>
                <w:sz w:val="16"/>
              </w:rPr>
              <w:t>8C</w:t>
            </w:r>
          </w:p>
        </w:tc>
        <w:tc>
          <w:tcPr>
            <w:tcW w:type="dxa" w:w="2520"/>
          </w:tcPr>
          <w:p>
            <w:pPr>
              <w:spacing w:after="0"/>
            </w:pPr>
            <w:r>
              <w:rPr>
                <w:rFonts w:ascii="Aptos" w:hAnsi="Aptos"/>
                <w:b w:val="0"/>
                <w:color w:val="1F2933"/>
                <w:sz w:val="16"/>
              </w:rPr>
              <w:t>Formal purchase returns</w:t>
            </w:r>
          </w:p>
        </w:tc>
        <w:tc>
          <w:tcPr>
            <w:tcW w:type="dxa" w:w="3160"/>
          </w:tcPr>
          <w:p>
            <w:pPr>
              <w:spacing w:after="0"/>
            </w:pPr>
            <w:r>
              <w:rPr>
                <w:rFonts w:ascii="Aptos" w:hAnsi="Aptos"/>
                <w:b w:val="0"/>
                <w:color w:val="1F2933"/>
                <w:sz w:val="16"/>
              </w:rPr>
              <w:t>Traceable stock, GST, vendor and ledger settlement</w:t>
            </w:r>
          </w:p>
        </w:tc>
        <w:tc>
          <w:tcPr>
            <w:tcW w:type="dxa" w:w="2400"/>
          </w:tcPr>
          <w:p>
            <w:pPr>
              <w:spacing w:after="0"/>
            </w:pPr>
            <w:r>
              <w:rPr>
                <w:rFonts w:ascii="Aptos" w:hAnsi="Aptos"/>
                <w:b w:val="0"/>
                <w:color w:val="1F2933"/>
                <w:sz w:val="16"/>
              </w:rPr>
              <w:t>Return lifecycle reconciles</w:t>
            </w:r>
          </w:p>
        </w:tc>
      </w:tr>
      <w:tr>
        <w:tc>
          <w:tcPr>
            <w:tcW w:type="dxa" w:w="1280"/>
            <w:shd w:fill="DFF7F6"/>
          </w:tcPr>
          <w:p>
            <w:pPr>
              <w:spacing w:after="0"/>
            </w:pPr>
            <w:r>
              <w:rPr>
                <w:rFonts w:ascii="Aptos" w:hAnsi="Aptos"/>
                <w:b/>
                <w:color w:val="102A43"/>
                <w:sz w:val="16"/>
              </w:rPr>
              <w:t>8D</w:t>
            </w:r>
          </w:p>
        </w:tc>
        <w:tc>
          <w:tcPr>
            <w:tcW w:type="dxa" w:w="2520"/>
          </w:tcPr>
          <w:p>
            <w:pPr>
              <w:spacing w:after="0"/>
            </w:pPr>
            <w:r>
              <w:rPr>
                <w:rFonts w:ascii="Aptos" w:hAnsi="Aptos"/>
                <w:b w:val="0"/>
                <w:color w:val="1F2933"/>
                <w:sz w:val="16"/>
              </w:rPr>
              <w:t>Authoritative inventory</w:t>
            </w:r>
          </w:p>
        </w:tc>
        <w:tc>
          <w:tcPr>
            <w:tcW w:type="dxa" w:w="3160"/>
          </w:tcPr>
          <w:p>
            <w:pPr>
              <w:spacing w:after="0"/>
            </w:pPr>
            <w:r>
              <w:rPr>
                <w:rFonts w:ascii="Aptos" w:hAnsi="Aptos"/>
                <w:b w:val="0"/>
                <w:color w:val="1F2933"/>
                <w:sz w:val="16"/>
              </w:rPr>
              <w:t>Defensible stock and valuation</w:t>
            </w:r>
          </w:p>
        </w:tc>
        <w:tc>
          <w:tcPr>
            <w:tcW w:type="dxa" w:w="2400"/>
          </w:tcPr>
          <w:p>
            <w:pPr>
              <w:spacing w:after="0"/>
            </w:pPr>
            <w:r>
              <w:rPr>
                <w:rFonts w:ascii="Aptos" w:hAnsi="Aptos"/>
                <w:b w:val="0"/>
                <w:color w:val="1F2933"/>
                <w:sz w:val="16"/>
              </w:rPr>
              <w:t>Movement ledger reconciles</w:t>
            </w:r>
          </w:p>
        </w:tc>
      </w:tr>
      <w:tr>
        <w:tc>
          <w:tcPr>
            <w:tcW w:type="dxa" w:w="1280"/>
            <w:shd w:fill="DFF7F6"/>
          </w:tcPr>
          <w:p>
            <w:pPr>
              <w:spacing w:after="0"/>
            </w:pPr>
            <w:r>
              <w:rPr>
                <w:rFonts w:ascii="Aptos" w:hAnsi="Aptos"/>
                <w:b/>
                <w:color w:val="102A43"/>
                <w:sz w:val="16"/>
              </w:rPr>
              <w:t>8E</w:t>
            </w:r>
          </w:p>
        </w:tc>
        <w:tc>
          <w:tcPr>
            <w:tcW w:type="dxa" w:w="2520"/>
          </w:tcPr>
          <w:p>
            <w:pPr>
              <w:spacing w:after="0"/>
            </w:pPr>
            <w:r>
              <w:rPr>
                <w:rFonts w:ascii="Aptos" w:hAnsi="Aptos"/>
                <w:b w:val="0"/>
                <w:color w:val="1F2933"/>
                <w:sz w:val="16"/>
              </w:rPr>
              <w:t>Accounting fidelity</w:t>
            </w:r>
          </w:p>
        </w:tc>
        <w:tc>
          <w:tcPr>
            <w:tcW w:type="dxa" w:w="3160"/>
          </w:tcPr>
          <w:p>
            <w:pPr>
              <w:spacing w:after="0"/>
            </w:pPr>
            <w:r>
              <w:rPr>
                <w:rFonts w:ascii="Aptos" w:hAnsi="Aptos"/>
                <w:b w:val="0"/>
                <w:color w:val="1F2933"/>
                <w:sz w:val="16"/>
              </w:rPr>
              <w:t>Accurate split payments, banking and due balances</w:t>
            </w:r>
          </w:p>
        </w:tc>
        <w:tc>
          <w:tcPr>
            <w:tcW w:type="dxa" w:w="2400"/>
          </w:tcPr>
          <w:p>
            <w:pPr>
              <w:spacing w:after="0"/>
            </w:pPr>
            <w:r>
              <w:rPr>
                <w:rFonts w:ascii="Aptos" w:hAnsi="Aptos"/>
                <w:b w:val="0"/>
                <w:color w:val="1F2933"/>
                <w:sz w:val="16"/>
              </w:rPr>
              <w:t>Journals and subledgers balance</w:t>
            </w:r>
          </w:p>
        </w:tc>
      </w:tr>
      <w:tr>
        <w:tc>
          <w:tcPr>
            <w:tcW w:type="dxa" w:w="1280"/>
            <w:shd w:fill="DFF7F6"/>
          </w:tcPr>
          <w:p>
            <w:pPr>
              <w:spacing w:after="0"/>
            </w:pPr>
            <w:r>
              <w:rPr>
                <w:rFonts w:ascii="Aptos" w:hAnsi="Aptos"/>
                <w:b/>
                <w:color w:val="102A43"/>
                <w:sz w:val="16"/>
              </w:rPr>
              <w:t>8F</w:t>
            </w:r>
          </w:p>
        </w:tc>
        <w:tc>
          <w:tcPr>
            <w:tcW w:type="dxa" w:w="2520"/>
          </w:tcPr>
          <w:p>
            <w:pPr>
              <w:spacing w:after="0"/>
            </w:pPr>
            <w:r>
              <w:rPr>
                <w:rFonts w:ascii="Aptos" w:hAnsi="Aptos"/>
                <w:b w:val="0"/>
                <w:color w:val="1F2933"/>
                <w:sz w:val="16"/>
              </w:rPr>
              <w:t>Automated assurance</w:t>
            </w:r>
          </w:p>
        </w:tc>
        <w:tc>
          <w:tcPr>
            <w:tcW w:type="dxa" w:w="3160"/>
          </w:tcPr>
          <w:p>
            <w:pPr>
              <w:spacing w:after="0"/>
            </w:pPr>
            <w:r>
              <w:rPr>
                <w:rFonts w:ascii="Aptos" w:hAnsi="Aptos"/>
                <w:b w:val="0"/>
                <w:color w:val="1F2933"/>
                <w:sz w:val="16"/>
              </w:rPr>
              <w:t>Safer releases and fewer regressions</w:t>
            </w:r>
          </w:p>
        </w:tc>
        <w:tc>
          <w:tcPr>
            <w:tcW w:type="dxa" w:w="2400"/>
          </w:tcPr>
          <w:p>
            <w:pPr>
              <w:spacing w:after="0"/>
            </w:pPr>
            <w:r>
              <w:rPr>
                <w:rFonts w:ascii="Aptos" w:hAnsi="Aptos"/>
                <w:b w:val="0"/>
                <w:color w:val="1F2933"/>
                <w:sz w:val="16"/>
              </w:rPr>
              <w:t>Critical suites pass</w:t>
            </w:r>
          </w:p>
        </w:tc>
      </w:tr>
      <w:tr>
        <w:tc>
          <w:tcPr>
            <w:tcW w:type="dxa" w:w="1280"/>
            <w:shd w:fill="DFF7F6"/>
          </w:tcPr>
          <w:p>
            <w:pPr>
              <w:spacing w:after="0"/>
            </w:pPr>
            <w:r>
              <w:rPr>
                <w:rFonts w:ascii="Aptos" w:hAnsi="Aptos"/>
                <w:b/>
                <w:color w:val="102A43"/>
                <w:sz w:val="16"/>
              </w:rPr>
              <w:t>8G</w:t>
            </w:r>
          </w:p>
        </w:tc>
        <w:tc>
          <w:tcPr>
            <w:tcW w:type="dxa" w:w="2520"/>
          </w:tcPr>
          <w:p>
            <w:pPr>
              <w:spacing w:after="0"/>
            </w:pPr>
            <w:r>
              <w:rPr>
                <w:rFonts w:ascii="Aptos" w:hAnsi="Aptos"/>
                <w:b w:val="0"/>
                <w:color w:val="1F2933"/>
                <w:sz w:val="16"/>
              </w:rPr>
              <w:t>Production go-live</w:t>
            </w:r>
          </w:p>
        </w:tc>
        <w:tc>
          <w:tcPr>
            <w:tcW w:type="dxa" w:w="3160"/>
          </w:tcPr>
          <w:p>
            <w:pPr>
              <w:spacing w:after="0"/>
            </w:pPr>
            <w:r>
              <w:rPr>
                <w:rFonts w:ascii="Aptos" w:hAnsi="Aptos"/>
                <w:b w:val="0"/>
                <w:color w:val="1F2933"/>
                <w:sz w:val="16"/>
              </w:rPr>
              <w:t>Validated integrations, backup and deployment</w:t>
            </w:r>
          </w:p>
        </w:tc>
        <w:tc>
          <w:tcPr>
            <w:tcW w:type="dxa" w:w="2400"/>
          </w:tcPr>
          <w:p>
            <w:pPr>
              <w:spacing w:after="0"/>
            </w:pPr>
            <w:r>
              <w:rPr>
                <w:rFonts w:ascii="Aptos" w:hAnsi="Aptos"/>
                <w:b w:val="0"/>
                <w:color w:val="1F2933"/>
                <w:sz w:val="16"/>
              </w:rPr>
              <w:t>Release checklist signed off</w:t>
            </w:r>
          </w:p>
        </w:tc>
      </w:tr>
    </w:tbl>
    <w:p>
      <w:pPr>
        <w:pStyle w:val="Heading2"/>
        <w:spacing w:before="0" w:after="120" w:line="278" w:lineRule="auto"/>
      </w:pPr>
      <w:r>
        <w:rPr>
          <w:rFonts w:ascii="Aptos" w:hAnsi="Aptos"/>
          <w:b w:val="0"/>
          <w:color w:val="1F2933"/>
          <w:sz w:val="21"/>
        </w:rPr>
        <w:t>Delivery Principles</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4F6F9"/>
          </w:tcPr>
          <w:p>
            <w:pPr>
              <w:spacing w:after="40"/>
            </w:pPr>
            <w:r>
              <w:rPr>
                <w:rFonts w:ascii="Aptos" w:hAnsi="Aptos"/>
                <w:b/>
                <w:color w:val="00A6A6"/>
                <w:sz w:val="19"/>
              </w:rPr>
              <w:t xml:space="preserve">Preserve business boundaries: </w:t>
            </w:r>
            <w:r>
              <w:rPr>
                <w:rFonts w:ascii="Aptos" w:hAnsi="Aptos"/>
                <w:b w:val="0"/>
                <w:color w:val="1F2933"/>
                <w:sz w:val="19"/>
              </w:rPr>
              <w:t>Regular accounting vouchers and Off Book Cash Vouchers remain separate.</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4F6F9"/>
          </w:tcPr>
          <w:p>
            <w:pPr>
              <w:spacing w:after="40"/>
            </w:pPr>
            <w:r>
              <w:rPr>
                <w:rFonts w:ascii="Aptos" w:hAnsi="Aptos"/>
                <w:b/>
                <w:color w:val="00A6A6"/>
                <w:sz w:val="19"/>
              </w:rPr>
              <w:t xml:space="preserve">Prefer formal documents: </w:t>
            </w:r>
            <w:r>
              <w:rPr>
                <w:rFonts w:ascii="Aptos" w:hAnsi="Aptos"/>
                <w:b w:val="0"/>
                <w:color w:val="1F2933"/>
                <w:sz w:val="19"/>
              </w:rPr>
              <w:t>Transactions that affect stock, GST, vendor/customer balances, or audit must have traceable header/detail records.</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4F6F9"/>
          </w:tcPr>
          <w:p>
            <w:pPr>
              <w:spacing w:after="40"/>
            </w:pPr>
            <w:r>
              <w:rPr>
                <w:rFonts w:ascii="Aptos" w:hAnsi="Aptos"/>
                <w:b/>
                <w:color w:val="00A6A6"/>
                <w:sz w:val="19"/>
              </w:rPr>
              <w:t xml:space="preserve">Keep background flags internal: </w:t>
            </w:r>
            <w:r>
              <w:rPr>
                <w:rFonts w:ascii="Aptos" w:hAnsi="Aptos"/>
                <w:b w:val="0"/>
                <w:color w:val="1F2933"/>
                <w:sz w:val="19"/>
              </w:rPr>
              <w:t>Party-ledger and bank-ledger linkage flags are derived by the system and are not user-entered controls.</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4F6F9"/>
          </w:tcPr>
          <w:p>
            <w:pPr>
              <w:spacing w:after="40"/>
            </w:pPr>
            <w:r>
              <w:rPr>
                <w:rFonts w:ascii="Aptos" w:hAnsi="Aptos"/>
                <w:b/>
                <w:color w:val="00A6A6"/>
                <w:sz w:val="19"/>
              </w:rPr>
              <w:t xml:space="preserve">Build for daily operation: </w:t>
            </w:r>
            <w:r>
              <w:rPr>
                <w:rFonts w:ascii="Aptos" w:hAnsi="Aptos"/>
                <w:b w:val="0"/>
                <w:color w:val="1F2933"/>
                <w:sz w:val="19"/>
              </w:rPr>
              <w:t>Large master-detail workflows use full pages or wide workspaces, not narrow side drawers.</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4F6F9"/>
          </w:tcPr>
          <w:p>
            <w:pPr>
              <w:spacing w:after="40"/>
            </w:pPr>
            <w:r>
              <w:rPr>
                <w:rFonts w:ascii="Aptos" w:hAnsi="Aptos"/>
                <w:b/>
                <w:color w:val="00A6A6"/>
                <w:sz w:val="19"/>
              </w:rPr>
              <w:t xml:space="preserve">Prove completion: </w:t>
            </w:r>
            <w:r>
              <w:rPr>
                <w:rFonts w:ascii="Aptos" w:hAnsi="Aptos"/>
                <w:b w:val="0"/>
                <w:color w:val="1F2933"/>
                <w:sz w:val="19"/>
              </w:rPr>
              <w:t>Every stage ends with build, runtime, reconciliation, permission, and visual evidence.</w:t>
            </w:r>
          </w:p>
        </w:tc>
      </w:tr>
    </w:tbl>
    <w:p>
      <w:pPr>
        <w:spacing w:after="20"/>
      </w:pPr>
    </w:p>
    <w:p>
      <w:r>
        <w:br w:type="page"/>
      </w:r>
    </w:p>
    <w:p>
      <w:pPr>
        <w:pStyle w:val="Heading1"/>
        <w:spacing w:before="0" w:after="120" w:line="278" w:lineRule="auto"/>
      </w:pPr>
      <w:r>
        <w:rPr>
          <w:rFonts w:ascii="Aptos" w:hAnsi="Aptos"/>
          <w:b w:val="0"/>
          <w:color w:val="1F2933"/>
          <w:sz w:val="21"/>
        </w:rPr>
        <w:t>1. Baseline and Immediate Stabilization</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DFF7F6"/>
          </w:tcPr>
          <w:p>
            <w:pPr>
              <w:spacing w:after="40"/>
            </w:pPr>
            <w:r>
              <w:rPr>
                <w:rFonts w:ascii="Aptos" w:hAnsi="Aptos"/>
                <w:b/>
                <w:color w:val="00A6A6"/>
                <w:sz w:val="19"/>
              </w:rPr>
              <w:t xml:space="preserve">Stage 7M contract: </w:t>
            </w:r>
            <w:r>
              <w:rPr>
                <w:rFonts w:ascii="Aptos" w:hAnsi="Aptos"/>
                <w:b w:val="0"/>
                <w:color w:val="1F2933"/>
                <w:sz w:val="19"/>
              </w:rPr>
              <w:t>Preserve the grouped Nuxt UI shell, menu naming, current routes, permission-aware navigation, dark theme default, Off Book grouping, contextual Store/Company dashboards, and NUXT_PUBLIC_DASHBOARD_SHELL=legacy rollback.</w:t>
            </w:r>
          </w:p>
        </w:tc>
      </w:tr>
    </w:tbl>
    <w:p>
      <w:pPr>
        <w:spacing w:after="20"/>
      </w:pP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Dashboard route</w:t>
            </w:r>
          </w:p>
        </w:tc>
        <w:tc>
          <w:tcPr>
            <w:tcW w:type="dxa" w:w="4650"/>
            <w:vAlign w:val="center"/>
          </w:tcPr>
          <w:p>
            <w:pPr>
              <w:spacing w:after="0"/>
            </w:pPr>
            <w:r>
              <w:rPr>
                <w:rFonts w:ascii="Aptos" w:hAnsi="Aptos"/>
                <w:b w:val="0"/>
                <w:color w:val="1F2933"/>
                <w:sz w:val="17"/>
              </w:rPr>
              <w:t>Correct the Minimal API mapping so GET /api/dashboard/home writes DashboardHomeDto to the response.</w:t>
            </w:r>
          </w:p>
        </w:tc>
        <w:tc>
          <w:tcPr>
            <w:tcW w:type="dxa" w:w="2460"/>
            <w:vAlign w:val="center"/>
          </w:tcPr>
          <w:p>
            <w:pPr>
              <w:spacing w:after="0"/>
            </w:pPr>
            <w:r>
              <w:rPr>
                <w:rFonts w:ascii="Aptos" w:hAnsi="Aptos"/>
                <w:b w:val="0"/>
                <w:color w:val="1F2933"/>
                <w:sz w:val="17"/>
              </w:rPr>
              <w:t>Authenticated request returns valid JSON and smart redirect works.</w:t>
            </w:r>
          </w:p>
        </w:tc>
      </w:tr>
      <w:tr>
        <w:tc>
          <w:tcPr>
            <w:tcW w:type="dxa" w:w="2250"/>
            <w:vAlign w:val="center"/>
          </w:tcPr>
          <w:p>
            <w:pPr>
              <w:spacing w:after="0"/>
            </w:pPr>
            <w:r>
              <w:rPr>
                <w:rFonts w:ascii="Aptos" w:hAnsi="Aptos"/>
                <w:b/>
                <w:color w:val="102A43"/>
                <w:sz w:val="17"/>
              </w:rPr>
              <w:t>Compiler quality</w:t>
            </w:r>
          </w:p>
        </w:tc>
        <w:tc>
          <w:tcPr>
            <w:tcW w:type="dxa" w:w="4650"/>
            <w:vAlign w:val="center"/>
          </w:tcPr>
          <w:p>
            <w:pPr>
              <w:spacing w:after="0"/>
            </w:pPr>
            <w:r>
              <w:rPr>
                <w:rFonts w:ascii="Aptos" w:hAnsi="Aptos"/>
                <w:b w:val="0"/>
                <w:color w:val="1F2933"/>
                <w:sz w:val="17"/>
              </w:rPr>
              <w:t>Resolve nullable warnings in purchase receipt mapping and data-consistency number handling.</w:t>
            </w:r>
          </w:p>
        </w:tc>
        <w:tc>
          <w:tcPr>
            <w:tcW w:type="dxa" w:w="2460"/>
            <w:vAlign w:val="center"/>
          </w:tcPr>
          <w:p>
            <w:pPr>
              <w:spacing w:after="0"/>
            </w:pPr>
            <w:r>
              <w:rPr>
                <w:rFonts w:ascii="Aptos" w:hAnsi="Aptos"/>
                <w:b w:val="0"/>
                <w:color w:val="1F2933"/>
                <w:sz w:val="17"/>
              </w:rPr>
              <w:t>Release build completes without project warnings.</w:t>
            </w:r>
          </w:p>
        </w:tc>
      </w:tr>
      <w:tr>
        <w:tc>
          <w:tcPr>
            <w:tcW w:type="dxa" w:w="2250"/>
            <w:vAlign w:val="center"/>
          </w:tcPr>
          <w:p>
            <w:pPr>
              <w:spacing w:after="0"/>
            </w:pPr>
            <w:r>
              <w:rPr>
                <w:rFonts w:ascii="Aptos" w:hAnsi="Aptos"/>
                <w:b/>
                <w:color w:val="102A43"/>
                <w:sz w:val="17"/>
              </w:rPr>
              <w:t>Build reliability</w:t>
            </w:r>
          </w:p>
        </w:tc>
        <w:tc>
          <w:tcPr>
            <w:tcW w:type="dxa" w:w="4650"/>
            <w:vAlign w:val="center"/>
          </w:tcPr>
          <w:p>
            <w:pPr>
              <w:spacing w:after="0"/>
            </w:pPr>
            <w:r>
              <w:rPr>
                <w:rFonts w:ascii="Aptos" w:hAnsi="Aptos"/>
                <w:b w:val="0"/>
                <w:color w:val="1F2933"/>
                <w:sz w:val="17"/>
              </w:rPr>
              <w:t>Eliminate external font metadata dependency or configure a reliable system-CA/local-font path.</w:t>
            </w:r>
          </w:p>
        </w:tc>
        <w:tc>
          <w:tcPr>
            <w:tcW w:type="dxa" w:w="2460"/>
            <w:vAlign w:val="center"/>
          </w:tcPr>
          <w:p>
            <w:pPr>
              <w:spacing w:after="0"/>
            </w:pPr>
            <w:r>
              <w:rPr>
                <w:rFonts w:ascii="Aptos" w:hAnsi="Aptos"/>
                <w:b w:val="0"/>
                <w:color w:val="1F2933"/>
                <w:sz w:val="17"/>
              </w:rPr>
              <w:t>Nuxt build succeeds without provider certificate failures.</w:t>
            </w:r>
          </w:p>
        </w:tc>
      </w:tr>
      <w:tr>
        <w:tc>
          <w:tcPr>
            <w:tcW w:type="dxa" w:w="2250"/>
            <w:vAlign w:val="center"/>
          </w:tcPr>
          <w:p>
            <w:pPr>
              <w:spacing w:after="0"/>
            </w:pPr>
            <w:r>
              <w:rPr>
                <w:rFonts w:ascii="Aptos" w:hAnsi="Aptos"/>
                <w:b/>
                <w:color w:val="102A43"/>
                <w:sz w:val="17"/>
              </w:rPr>
              <w:t>Version identity</w:t>
            </w:r>
          </w:p>
        </w:tc>
        <w:tc>
          <w:tcPr>
            <w:tcW w:type="dxa" w:w="4650"/>
            <w:vAlign w:val="center"/>
          </w:tcPr>
          <w:p>
            <w:pPr>
              <w:spacing w:after="0"/>
            </w:pPr>
            <w:r>
              <w:rPr>
                <w:rFonts w:ascii="Aptos" w:hAnsi="Aptos"/>
                <w:b w:val="0"/>
                <w:color w:val="1F2933"/>
                <w:sz w:val="17"/>
              </w:rPr>
              <w:t>Keep API, frontend package, visible release, stage and build code synchronized.</w:t>
            </w:r>
          </w:p>
        </w:tc>
        <w:tc>
          <w:tcPr>
            <w:tcW w:type="dxa" w:w="2460"/>
            <w:vAlign w:val="center"/>
          </w:tcPr>
          <w:p>
            <w:pPr>
              <w:spacing w:after="0"/>
            </w:pPr>
            <w:r>
              <w:rPr>
                <w:rFonts w:ascii="Aptos" w:hAnsi="Aptos"/>
                <w:b w:val="0"/>
                <w:color w:val="1F2933"/>
                <w:sz w:val="17"/>
              </w:rPr>
              <w:t>System Info reports a full match.</w:t>
            </w:r>
          </w:p>
        </w:tc>
      </w:tr>
      <w:tr>
        <w:tc>
          <w:tcPr>
            <w:tcW w:type="dxa" w:w="2250"/>
            <w:vAlign w:val="center"/>
          </w:tcPr>
          <w:p>
            <w:pPr>
              <w:spacing w:after="0"/>
            </w:pPr>
            <w:r>
              <w:rPr>
                <w:rFonts w:ascii="Aptos" w:hAnsi="Aptos"/>
                <w:b/>
                <w:color w:val="102A43"/>
                <w:sz w:val="17"/>
              </w:rPr>
              <w:t>Validation entry point</w:t>
            </w:r>
          </w:p>
        </w:tc>
        <w:tc>
          <w:tcPr>
            <w:tcW w:type="dxa" w:w="4650"/>
            <w:vAlign w:val="center"/>
          </w:tcPr>
          <w:p>
            <w:pPr>
              <w:spacing w:after="0"/>
            </w:pPr>
            <w:r>
              <w:rPr>
                <w:rFonts w:ascii="Aptos" w:hAnsi="Aptos"/>
                <w:b w:val="0"/>
                <w:color w:val="1F2933"/>
                <w:sz w:val="17"/>
              </w:rPr>
              <w:t>Create one current aggregate validation command for backend, frontend, static checks and smoke tests.</w:t>
            </w:r>
          </w:p>
        </w:tc>
        <w:tc>
          <w:tcPr>
            <w:tcW w:type="dxa" w:w="2460"/>
            <w:vAlign w:val="center"/>
          </w:tcPr>
          <w:p>
            <w:pPr>
              <w:spacing w:after="0"/>
            </w:pPr>
            <w:r>
              <w:rPr>
                <w:rFonts w:ascii="Aptos" w:hAnsi="Aptos"/>
                <w:b w:val="0"/>
                <w:color w:val="1F2933"/>
                <w:sz w:val="17"/>
              </w:rPr>
              <w:t>Single command produces a clear pass/fail report.</w:t>
            </w:r>
          </w:p>
        </w:tc>
      </w:tr>
      <w:tr>
        <w:tc>
          <w:tcPr>
            <w:tcW w:type="dxa" w:w="2250"/>
            <w:vAlign w:val="center"/>
          </w:tcPr>
          <w:p>
            <w:pPr>
              <w:spacing w:after="0"/>
            </w:pPr>
            <w:r>
              <w:rPr>
                <w:rFonts w:ascii="Aptos" w:hAnsi="Aptos"/>
                <w:b/>
                <w:color w:val="102A43"/>
                <w:sz w:val="17"/>
              </w:rPr>
              <w:t>Docker runtime</w:t>
            </w:r>
          </w:p>
        </w:tc>
        <w:tc>
          <w:tcPr>
            <w:tcW w:type="dxa" w:w="4650"/>
            <w:vAlign w:val="center"/>
          </w:tcPr>
          <w:p>
            <w:pPr>
              <w:spacing w:after="0"/>
            </w:pPr>
            <w:r>
              <w:rPr>
                <w:rFonts w:ascii="Aptos" w:hAnsi="Aptos"/>
                <w:b w:val="0"/>
                <w:color w:val="1F2933"/>
                <w:sz w:val="17"/>
              </w:rPr>
              <w:t>Verify login, dashboard, workspace selection, role navigation, API health and database readiness.</w:t>
            </w:r>
          </w:p>
        </w:tc>
        <w:tc>
          <w:tcPr>
            <w:tcW w:type="dxa" w:w="2460"/>
            <w:vAlign w:val="center"/>
          </w:tcPr>
          <w:p>
            <w:pPr>
              <w:spacing w:after="0"/>
            </w:pPr>
            <w:r>
              <w:rPr>
                <w:rFonts w:ascii="Aptos" w:hAnsi="Aptos"/>
                <w:b w:val="0"/>
                <w:color w:val="1F2933"/>
                <w:sz w:val="17"/>
              </w:rPr>
              <w:t>Documented smoke run passes on the current Compose stack.</w:t>
            </w:r>
          </w:p>
        </w:tc>
      </w:tr>
    </w:tbl>
    <w:p>
      <w:pPr>
        <w:spacing w:after="40"/>
      </w:pPr>
    </w:p>
    <w:p>
      <w:pPr>
        <w:pStyle w:val="Heading2"/>
        <w:spacing w:before="0" w:after="120" w:line="278" w:lineRule="auto"/>
      </w:pPr>
      <w:r>
        <w:rPr>
          <w:rFonts w:ascii="Aptos" w:hAnsi="Aptos"/>
          <w:b w:val="0"/>
          <w:color w:val="1F2933"/>
          <w:sz w:val="21"/>
        </w:rPr>
        <w:t>Exit gate</w:t>
      </w:r>
    </w:p>
    <w:p>
      <w:pPr>
        <w:spacing w:before="0" w:after="120" w:line="278" w:lineRule="auto"/>
      </w:pPr>
      <w:r>
        <w:rPr>
          <w:rFonts w:ascii="Aptos" w:hAnsi="Aptos"/>
          <w:b w:val="0"/>
          <w:color w:val="1F2933"/>
          <w:sz w:val="21"/>
        </w:rPr>
        <w:t>Stage 8 feature work begins only after the dashboard response defect is fixed, builds are repeatable, version identity matches, and the current Docker stack passes a basic authenticated smoke test.</w:t>
      </w:r>
    </w:p>
    <w:p>
      <w:r>
        <w:br w:type="page"/>
      </w:r>
    </w:p>
    <w:tbl>
      <w:tblPr>
        <w:tblW w:type="dxa" w:w="9360"/>
        <w:jc w:val="center"/>
        <w:tblLayout w:type="fixed"/>
        <w:tblLook w:firstColumn="1" w:firstRow="1" w:lastColumn="0" w:lastRow="0" w:noHBand="0" w:noVBand="1" w:val="04A0"/>
      </w:tblPr>
      <w:tblGrid>
        <w:gridCol w:w="1750"/>
        <w:gridCol w:w="7610"/>
      </w:tblGrid>
      <w:tr>
        <w:tc>
          <w:tcPr>
            <w:tcW w:type="dxa" w:w="1750"/>
            <w:tcMar>
              <w:top w:w="90" w:type="dxa"/>
              <w:start w:w="120" w:type="dxa"/>
              <w:bottom w:w="90" w:type="dxa"/>
              <w:end w:w="120" w:type="dxa"/>
            </w:tcMar>
            <w:shd w:fill="00A6A6"/>
            <w:vAlign w:val="center"/>
          </w:tcPr>
          <w:p>
            <w:pPr>
              <w:spacing w:after="0"/>
              <w:jc w:val="center"/>
            </w:pPr>
            <w:r>
              <w:rPr>
                <w:rFonts w:ascii="Aptos" w:hAnsi="Aptos"/>
                <w:b/>
                <w:color w:val="FFFFFF"/>
                <w:sz w:val="30"/>
              </w:rPr>
              <w:t>8A</w:t>
            </w:r>
          </w:p>
        </w:tc>
        <w:tc>
          <w:tcPr>
            <w:tcW w:type="dxa" w:w="7610"/>
            <w:tcMar>
              <w:top w:w="90" w:type="dxa"/>
              <w:start w:w="120" w:type="dxa"/>
              <w:bottom w:w="90" w:type="dxa"/>
              <w:end w:w="120" w:type="dxa"/>
            </w:tcMar>
            <w:shd w:fill="102A43"/>
            <w:vAlign w:val="center"/>
          </w:tcPr>
          <w:p>
            <w:pPr>
              <w:spacing w:after="20"/>
            </w:pPr>
            <w:r>
              <w:rPr>
                <w:rFonts w:ascii="Aptos" w:hAnsi="Aptos"/>
                <w:b/>
                <w:color w:val="FFFFFF"/>
                <w:sz w:val="27"/>
              </w:rPr>
              <w:t>Full UI Audit and Standardization</w:t>
            </w:r>
          </w:p>
          <w:p>
            <w:pPr>
              <w:spacing w:after="0"/>
            </w:pPr>
            <w:r>
              <w:rPr>
                <w:rFonts w:ascii="Aptos" w:hAnsi="Aptos"/>
                <w:b w:val="0"/>
                <w:color w:val="D7E3EF"/>
                <w:sz w:val="17"/>
              </w:rPr>
              <w:t>Target v4.0 | Web Chat Stage 8 direction preserved locally</w:t>
            </w:r>
          </w:p>
        </w:tc>
      </w:tr>
    </w:tbl>
    <w:p>
      <w:pPr>
        <w:spacing w:after="20"/>
      </w:pPr>
    </w:p>
    <w:p>
      <w:pPr>
        <w:spacing w:before="0" w:after="120" w:line="278" w:lineRule="auto"/>
      </w:pPr>
      <w:r>
        <w:rPr>
          <w:rFonts w:ascii="Aptos" w:hAnsi="Aptos"/>
          <w:b w:val="0"/>
          <w:color w:val="1F2933"/>
          <w:sz w:val="21"/>
        </w:rPr>
        <w:t>Objective: make every operational page feel like one coherent Nuxt UI application, with practical forms and predictable navigation for repeated store work.</w:t>
      </w: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Page framework</w:t>
            </w:r>
          </w:p>
        </w:tc>
        <w:tc>
          <w:tcPr>
            <w:tcW w:type="dxa" w:w="4650"/>
            <w:vAlign w:val="center"/>
          </w:tcPr>
          <w:p>
            <w:pPr>
              <w:spacing w:after="0"/>
            </w:pPr>
            <w:r>
              <w:rPr>
                <w:rFonts w:ascii="Aptos" w:hAnsi="Aptos"/>
                <w:b w:val="0"/>
                <w:color w:val="1F2933"/>
                <w:sz w:val="17"/>
              </w:rPr>
              <w:t>Standardize page title, context, primary action, filters, toolbar, table, pagination, loading, error and empty states.</w:t>
            </w:r>
          </w:p>
        </w:tc>
        <w:tc>
          <w:tcPr>
            <w:tcW w:type="dxa" w:w="2460"/>
            <w:vAlign w:val="center"/>
          </w:tcPr>
          <w:p>
            <w:pPr>
              <w:spacing w:after="0"/>
            </w:pPr>
            <w:r>
              <w:rPr>
                <w:rFonts w:ascii="Aptos" w:hAnsi="Aptos"/>
                <w:b w:val="0"/>
                <w:color w:val="1F2933"/>
                <w:sz w:val="17"/>
              </w:rPr>
              <w:t>Every route follows the approved page pattern.</w:t>
            </w:r>
          </w:p>
        </w:tc>
      </w:tr>
      <w:tr>
        <w:tc>
          <w:tcPr>
            <w:tcW w:type="dxa" w:w="2250"/>
            <w:vAlign w:val="center"/>
          </w:tcPr>
          <w:p>
            <w:pPr>
              <w:spacing w:after="0"/>
            </w:pPr>
            <w:r>
              <w:rPr>
                <w:rFonts w:ascii="Aptos" w:hAnsi="Aptos"/>
                <w:b/>
                <w:color w:val="102A43"/>
                <w:sz w:val="17"/>
              </w:rPr>
              <w:t>Large forms</w:t>
            </w:r>
          </w:p>
        </w:tc>
        <w:tc>
          <w:tcPr>
            <w:tcW w:type="dxa" w:w="4650"/>
            <w:vAlign w:val="center"/>
          </w:tcPr>
          <w:p>
            <w:pPr>
              <w:spacing w:after="0"/>
            </w:pPr>
            <w:r>
              <w:rPr>
                <w:rFonts w:ascii="Aptos" w:hAnsi="Aptos"/>
                <w:b w:val="0"/>
                <w:color w:val="1F2933"/>
                <w:sz w:val="17"/>
              </w:rPr>
              <w:t>Move invoice, purchase, voucher, employee, payroll and other master-detail forms to dedicated pages or wide workspaces.</w:t>
            </w:r>
          </w:p>
        </w:tc>
        <w:tc>
          <w:tcPr>
            <w:tcW w:type="dxa" w:w="2460"/>
            <w:vAlign w:val="center"/>
          </w:tcPr>
          <w:p>
            <w:pPr>
              <w:spacing w:after="0"/>
            </w:pPr>
            <w:r>
              <w:rPr>
                <w:rFonts w:ascii="Aptos" w:hAnsi="Aptos"/>
                <w:b w:val="0"/>
                <w:color w:val="1F2933"/>
                <w:sz w:val="17"/>
              </w:rPr>
              <w:t>No critical workflow is constrained by a narrow drawer.</w:t>
            </w:r>
          </w:p>
        </w:tc>
      </w:tr>
      <w:tr>
        <w:tc>
          <w:tcPr>
            <w:tcW w:type="dxa" w:w="2250"/>
            <w:vAlign w:val="center"/>
          </w:tcPr>
          <w:p>
            <w:pPr>
              <w:spacing w:after="0"/>
            </w:pPr>
            <w:r>
              <w:rPr>
                <w:rFonts w:ascii="Aptos" w:hAnsi="Aptos"/>
                <w:b/>
                <w:color w:val="102A43"/>
                <w:sz w:val="17"/>
              </w:rPr>
              <w:t>Responsive shell</w:t>
            </w:r>
          </w:p>
        </w:tc>
        <w:tc>
          <w:tcPr>
            <w:tcW w:type="dxa" w:w="4650"/>
            <w:vAlign w:val="center"/>
          </w:tcPr>
          <w:p>
            <w:pPr>
              <w:spacing w:after="0"/>
            </w:pPr>
            <w:r>
              <w:rPr>
                <w:rFonts w:ascii="Aptos" w:hAnsi="Aptos"/>
                <w:b w:val="0"/>
                <w:color w:val="1F2933"/>
                <w:sz w:val="17"/>
              </w:rPr>
              <w:t>Verify mobile drawer, collapsed icons, active groups, command palette, footer menus, workspace selector and topbar actions.</w:t>
            </w:r>
          </w:p>
        </w:tc>
        <w:tc>
          <w:tcPr>
            <w:tcW w:type="dxa" w:w="2460"/>
            <w:vAlign w:val="center"/>
          </w:tcPr>
          <w:p>
            <w:pPr>
              <w:spacing w:after="0"/>
            </w:pPr>
            <w:r>
              <w:rPr>
                <w:rFonts w:ascii="Aptos" w:hAnsi="Aptos"/>
                <w:b w:val="0"/>
                <w:color w:val="1F2933"/>
                <w:sz w:val="17"/>
              </w:rPr>
              <w:t>No overlap or inaccessible control at mobile, tablet or desktop sizes.</w:t>
            </w:r>
          </w:p>
        </w:tc>
      </w:tr>
      <w:tr>
        <w:tc>
          <w:tcPr>
            <w:tcW w:type="dxa" w:w="2250"/>
            <w:vAlign w:val="center"/>
          </w:tcPr>
          <w:p>
            <w:pPr>
              <w:spacing w:after="0"/>
            </w:pPr>
            <w:r>
              <w:rPr>
                <w:rFonts w:ascii="Aptos" w:hAnsi="Aptos"/>
                <w:b/>
                <w:color w:val="102A43"/>
                <w:sz w:val="17"/>
              </w:rPr>
              <w:t>Tables and actions</w:t>
            </w:r>
          </w:p>
        </w:tc>
        <w:tc>
          <w:tcPr>
            <w:tcW w:type="dxa" w:w="4650"/>
            <w:vAlign w:val="center"/>
          </w:tcPr>
          <w:p>
            <w:pPr>
              <w:spacing w:after="0"/>
            </w:pPr>
            <w:r>
              <w:rPr>
                <w:rFonts w:ascii="Aptos" w:hAnsi="Aptos"/>
                <w:b w:val="0"/>
                <w:color w:val="1F2933"/>
                <w:sz w:val="17"/>
              </w:rPr>
              <w:t>Contain horizontal overflow, keep actions stable, wrap buttons cleanly and preserve readable columns.</w:t>
            </w:r>
          </w:p>
        </w:tc>
        <w:tc>
          <w:tcPr>
            <w:tcW w:type="dxa" w:w="2460"/>
            <w:vAlign w:val="center"/>
          </w:tcPr>
          <w:p>
            <w:pPr>
              <w:spacing w:after="0"/>
            </w:pPr>
            <w:r>
              <w:rPr>
                <w:rFonts w:ascii="Aptos" w:hAnsi="Aptos"/>
                <w:b w:val="0"/>
                <w:color w:val="1F2933"/>
                <w:sz w:val="17"/>
              </w:rPr>
              <w:t>Tables never break the shell or hide essential actions.</w:t>
            </w:r>
          </w:p>
        </w:tc>
      </w:tr>
      <w:tr>
        <w:tc>
          <w:tcPr>
            <w:tcW w:type="dxa" w:w="2250"/>
            <w:vAlign w:val="center"/>
          </w:tcPr>
          <w:p>
            <w:pPr>
              <w:spacing w:after="0"/>
            </w:pPr>
            <w:r>
              <w:rPr>
                <w:rFonts w:ascii="Aptos" w:hAnsi="Aptos"/>
                <w:b/>
                <w:color w:val="102A43"/>
                <w:sz w:val="17"/>
              </w:rPr>
              <w:t>Notification UX</w:t>
            </w:r>
          </w:p>
        </w:tc>
        <w:tc>
          <w:tcPr>
            <w:tcW w:type="dxa" w:w="4650"/>
            <w:vAlign w:val="center"/>
          </w:tcPr>
          <w:p>
            <w:pPr>
              <w:spacing w:after="0"/>
            </w:pPr>
            <w:r>
              <w:rPr>
                <w:rFonts w:ascii="Aptos" w:hAnsi="Aptos"/>
                <w:b w:val="0"/>
                <w:color w:val="1F2933"/>
                <w:sz w:val="17"/>
              </w:rPr>
              <w:t>Add a useful action/notification surface for operational exceptions without exposing technical status noise.</w:t>
            </w:r>
          </w:p>
        </w:tc>
        <w:tc>
          <w:tcPr>
            <w:tcW w:type="dxa" w:w="2460"/>
            <w:vAlign w:val="center"/>
          </w:tcPr>
          <w:p>
            <w:pPr>
              <w:spacing w:after="0"/>
            </w:pPr>
            <w:r>
              <w:rPr>
                <w:rFonts w:ascii="Aptos" w:hAnsi="Aptos"/>
                <w:b w:val="0"/>
                <w:color w:val="1F2933"/>
                <w:sz w:val="17"/>
              </w:rPr>
              <w:t>Users can review and act on meaningful alerts.</w:t>
            </w:r>
          </w:p>
        </w:tc>
      </w:tr>
      <w:tr>
        <w:tc>
          <w:tcPr>
            <w:tcW w:type="dxa" w:w="2250"/>
            <w:vAlign w:val="center"/>
          </w:tcPr>
          <w:p>
            <w:pPr>
              <w:spacing w:after="0"/>
            </w:pPr>
            <w:r>
              <w:rPr>
                <w:rFonts w:ascii="Aptos" w:hAnsi="Aptos"/>
                <w:b/>
                <w:color w:val="102A43"/>
                <w:sz w:val="17"/>
              </w:rPr>
              <w:t>Reusable components</w:t>
            </w:r>
          </w:p>
        </w:tc>
        <w:tc>
          <w:tcPr>
            <w:tcW w:type="dxa" w:w="4650"/>
            <w:vAlign w:val="center"/>
          </w:tcPr>
          <w:p>
            <w:pPr>
              <w:spacing w:after="0"/>
            </w:pPr>
            <w:r>
              <w:rPr>
                <w:rFonts w:ascii="Aptos" w:hAnsi="Aptos"/>
                <w:b w:val="0"/>
                <w:color w:val="1F2933"/>
                <w:sz w:val="17"/>
              </w:rPr>
              <w:t>Extract shared page-header, filter, form-section, master-detail and status patterns where duplication is material.</w:t>
            </w:r>
          </w:p>
        </w:tc>
        <w:tc>
          <w:tcPr>
            <w:tcW w:type="dxa" w:w="2460"/>
            <w:vAlign w:val="center"/>
          </w:tcPr>
          <w:p>
            <w:pPr>
              <w:spacing w:after="0"/>
            </w:pPr>
            <w:r>
              <w:rPr>
                <w:rFonts w:ascii="Aptos" w:hAnsi="Aptos"/>
                <w:b w:val="0"/>
                <w:color w:val="1F2933"/>
                <w:sz w:val="17"/>
              </w:rPr>
              <w:t>Reduced repeated markup without obscuring module logic.</w:t>
            </w:r>
          </w:p>
        </w:tc>
      </w:tr>
      <w:tr>
        <w:tc>
          <w:tcPr>
            <w:tcW w:type="dxa" w:w="2250"/>
            <w:vAlign w:val="center"/>
          </w:tcPr>
          <w:p>
            <w:pPr>
              <w:spacing w:after="0"/>
            </w:pPr>
            <w:r>
              <w:rPr>
                <w:rFonts w:ascii="Aptos" w:hAnsi="Aptos"/>
                <w:b/>
                <w:color w:val="102A43"/>
                <w:sz w:val="17"/>
              </w:rPr>
              <w:t>Visible language</w:t>
            </w:r>
          </w:p>
        </w:tc>
        <w:tc>
          <w:tcPr>
            <w:tcW w:type="dxa" w:w="4650"/>
            <w:vAlign w:val="center"/>
          </w:tcPr>
          <w:p>
            <w:pPr>
              <w:spacing w:after="0"/>
            </w:pPr>
            <w:r>
              <w:rPr>
                <w:rFonts w:ascii="Aptos" w:hAnsi="Aptos"/>
                <w:b w:val="0"/>
                <w:color w:val="1F2933"/>
                <w:sz w:val="17"/>
              </w:rPr>
              <w:t>Remove stale stage/migration language and normalize capitalization, labels, help text and errors.</w:t>
            </w:r>
          </w:p>
        </w:tc>
        <w:tc>
          <w:tcPr>
            <w:tcW w:type="dxa" w:w="2460"/>
            <w:vAlign w:val="center"/>
          </w:tcPr>
          <w:p>
            <w:pPr>
              <w:spacing w:after="0"/>
            </w:pPr>
            <w:r>
              <w:rPr>
                <w:rFonts w:ascii="Aptos" w:hAnsi="Aptos"/>
                <w:b w:val="0"/>
                <w:color w:val="1F2933"/>
                <w:sz w:val="17"/>
              </w:rPr>
              <w:t>Business pages contain only user-relevant language.</w:t>
            </w:r>
          </w:p>
        </w:tc>
      </w:tr>
      <w:tr>
        <w:tc>
          <w:tcPr>
            <w:tcW w:type="dxa" w:w="2250"/>
            <w:vAlign w:val="center"/>
          </w:tcPr>
          <w:p>
            <w:pPr>
              <w:spacing w:after="0"/>
            </w:pPr>
            <w:r>
              <w:rPr>
                <w:rFonts w:ascii="Aptos" w:hAnsi="Aptos"/>
                <w:b/>
                <w:color w:val="102A43"/>
                <w:sz w:val="17"/>
              </w:rPr>
              <w:t>Visual QA</w:t>
            </w:r>
          </w:p>
        </w:tc>
        <w:tc>
          <w:tcPr>
            <w:tcW w:type="dxa" w:w="4650"/>
            <w:vAlign w:val="center"/>
          </w:tcPr>
          <w:p>
            <w:pPr>
              <w:spacing w:after="0"/>
            </w:pPr>
            <w:r>
              <w:rPr>
                <w:rFonts w:ascii="Aptos" w:hAnsi="Aptos"/>
                <w:b w:val="0"/>
                <w:color w:val="1F2933"/>
                <w:sz w:val="17"/>
              </w:rPr>
              <w:t>Use /ui-audit plus Playwright screenshots at representative desktop and mobile viewports.</w:t>
            </w:r>
          </w:p>
        </w:tc>
        <w:tc>
          <w:tcPr>
            <w:tcW w:type="dxa" w:w="2460"/>
            <w:vAlign w:val="center"/>
          </w:tcPr>
          <w:p>
            <w:pPr>
              <w:spacing w:after="0"/>
            </w:pPr>
            <w:r>
              <w:rPr>
                <w:rFonts w:ascii="Aptos" w:hAnsi="Aptos"/>
                <w:b w:val="0"/>
                <w:color w:val="1F2933"/>
                <w:sz w:val="17"/>
              </w:rPr>
              <w:t>Every audit item is reviewed and recorded.</w:t>
            </w:r>
          </w:p>
        </w:tc>
      </w:tr>
    </w:tbl>
    <w:p>
      <w:pPr>
        <w:spacing w:after="40"/>
      </w:pPr>
    </w:p>
    <w:p>
      <w:pPr>
        <w:pStyle w:val="Heading2"/>
        <w:spacing w:before="0" w:after="120" w:line="278" w:lineRule="auto"/>
      </w:pPr>
      <w:r>
        <w:rPr>
          <w:rFonts w:ascii="Aptos" w:hAnsi="Aptos"/>
          <w:b w:val="0"/>
          <w:color w:val="1F2933"/>
          <w:sz w:val="21"/>
        </w:rPr>
        <w:t>Module order</w:t>
      </w:r>
    </w:p>
    <w:p>
      <w:pPr>
        <w:spacing w:before="0" w:after="120" w:line="278" w:lineRule="auto"/>
      </w:pPr>
      <w:r>
        <w:rPr>
          <w:rFonts w:ascii="Aptos" w:hAnsi="Aptos"/>
          <w:b w:val="0"/>
          <w:color w:val="1F2933"/>
          <w:sz w:val="21"/>
        </w:rPr>
        <w:t>Sales and Billing; Purchase and Returns; Inventory and Product Master; Accounting and Banking; HR and Payroll; Reports and GST; CRM; Admin, Data, Maintenance and System.</w:t>
      </w:r>
    </w:p>
    <w:p>
      <w:r>
        <w:br w:type="page"/>
      </w:r>
    </w:p>
    <w:tbl>
      <w:tblPr>
        <w:tblW w:type="dxa" w:w="9360"/>
        <w:jc w:val="center"/>
        <w:tblLayout w:type="fixed"/>
        <w:tblLook w:firstColumn="1" w:firstRow="1" w:lastColumn="0" w:lastRow="0" w:noHBand="0" w:noVBand="1" w:val="04A0"/>
      </w:tblPr>
      <w:tblGrid>
        <w:gridCol w:w="1750"/>
        <w:gridCol w:w="7610"/>
      </w:tblGrid>
      <w:tr>
        <w:tc>
          <w:tcPr>
            <w:tcW w:type="dxa" w:w="1750"/>
            <w:tcMar>
              <w:top w:w="90" w:type="dxa"/>
              <w:start w:w="120" w:type="dxa"/>
              <w:bottom w:w="90" w:type="dxa"/>
              <w:end w:w="120" w:type="dxa"/>
            </w:tcMar>
            <w:shd w:fill="00A6A6"/>
            <w:vAlign w:val="center"/>
          </w:tcPr>
          <w:p>
            <w:pPr>
              <w:spacing w:after="0"/>
              <w:jc w:val="center"/>
            </w:pPr>
            <w:r>
              <w:rPr>
                <w:rFonts w:ascii="Aptos" w:hAnsi="Aptos"/>
                <w:b/>
                <w:color w:val="FFFFFF"/>
                <w:sz w:val="30"/>
              </w:rPr>
              <w:t>8B</w:t>
            </w:r>
          </w:p>
        </w:tc>
        <w:tc>
          <w:tcPr>
            <w:tcW w:type="dxa" w:w="7610"/>
            <w:tcMar>
              <w:top w:w="90" w:type="dxa"/>
              <w:start w:w="120" w:type="dxa"/>
              <w:bottom w:w="90" w:type="dxa"/>
              <w:end w:w="120" w:type="dxa"/>
            </w:tcMar>
            <w:shd w:fill="102A43"/>
            <w:vAlign w:val="center"/>
          </w:tcPr>
          <w:p>
            <w:pPr>
              <w:spacing w:after="20"/>
            </w:pPr>
            <w:r>
              <w:rPr>
                <w:rFonts w:ascii="Aptos" w:hAnsi="Aptos"/>
                <w:b/>
                <w:color w:val="FFFFFF"/>
                <w:sz w:val="27"/>
              </w:rPr>
              <w:t>User, Role and Permission Hardening</w:t>
            </w:r>
          </w:p>
          <w:p>
            <w:pPr>
              <w:spacing w:after="0"/>
            </w:pPr>
            <w:r>
              <w:rPr>
                <w:rFonts w:ascii="Aptos" w:hAnsi="Aptos"/>
                <w:b w:val="0"/>
                <w:color w:val="D7E3EF"/>
                <w:sz w:val="17"/>
              </w:rPr>
              <w:t>Target v4.1 | Web Chat Stage 8 direction preserved locally</w:t>
            </w:r>
          </w:p>
        </w:tc>
      </w:tr>
    </w:tbl>
    <w:p>
      <w:pPr>
        <w:spacing w:after="20"/>
      </w:pPr>
    </w:p>
    <w:p>
      <w:pPr>
        <w:spacing w:before="0" w:after="120" w:line="278" w:lineRule="auto"/>
      </w:pPr>
      <w:r>
        <w:rPr>
          <w:rFonts w:ascii="Aptos" w:hAnsi="Aptos"/>
          <w:b w:val="0"/>
          <w:color w:val="1F2933"/>
          <w:sz w:val="21"/>
        </w:rPr>
        <w:t>Objective: turn the existing access screens and policies into a verified administration system with clear scope, action rights and audit evidence.</w:t>
      </w: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User lifecycle</w:t>
            </w:r>
          </w:p>
        </w:tc>
        <w:tc>
          <w:tcPr>
            <w:tcW w:type="dxa" w:w="4650"/>
            <w:vAlign w:val="center"/>
          </w:tcPr>
          <w:p>
            <w:pPr>
              <w:spacing w:after="0"/>
            </w:pPr>
            <w:r>
              <w:rPr>
                <w:rFonts w:ascii="Aptos" w:hAnsi="Aptos"/>
                <w:b w:val="0"/>
                <w:color w:val="1F2933"/>
                <w:sz w:val="17"/>
              </w:rPr>
              <w:t>Audit create, edit, activate/deactivate, password reset and assigned workspace flows.</w:t>
            </w:r>
          </w:p>
        </w:tc>
        <w:tc>
          <w:tcPr>
            <w:tcW w:type="dxa" w:w="2460"/>
            <w:vAlign w:val="center"/>
          </w:tcPr>
          <w:p>
            <w:pPr>
              <w:spacing w:after="0"/>
            </w:pPr>
            <w:r>
              <w:rPr>
                <w:rFonts w:ascii="Aptos" w:hAnsi="Aptos"/>
                <w:b w:val="0"/>
                <w:color w:val="1F2933"/>
                <w:sz w:val="17"/>
              </w:rPr>
              <w:t>Admin can manage users without direct database work.</w:t>
            </w:r>
          </w:p>
        </w:tc>
      </w:tr>
      <w:tr>
        <w:tc>
          <w:tcPr>
            <w:tcW w:type="dxa" w:w="2250"/>
            <w:vAlign w:val="center"/>
          </w:tcPr>
          <w:p>
            <w:pPr>
              <w:spacing w:after="0"/>
            </w:pPr>
            <w:r>
              <w:rPr>
                <w:rFonts w:ascii="Aptos" w:hAnsi="Aptos"/>
                <w:b/>
                <w:color w:val="102A43"/>
                <w:sz w:val="17"/>
              </w:rPr>
              <w:t>Role assignment</w:t>
            </w:r>
          </w:p>
        </w:tc>
        <w:tc>
          <w:tcPr>
            <w:tcW w:type="dxa" w:w="4650"/>
            <w:vAlign w:val="center"/>
          </w:tcPr>
          <w:p>
            <w:pPr>
              <w:spacing w:after="0"/>
            </w:pPr>
            <w:r>
              <w:rPr>
                <w:rFonts w:ascii="Aptos" w:hAnsi="Aptos"/>
                <w:b w:val="0"/>
                <w:color w:val="1F2933"/>
                <w:sz w:val="17"/>
              </w:rPr>
              <w:t>Validate Owner, Admin, PowerUser, Accountant, Remote Accountant, StoreManager, Salesman, HR and Payroll behavior.</w:t>
            </w:r>
          </w:p>
        </w:tc>
        <w:tc>
          <w:tcPr>
            <w:tcW w:type="dxa" w:w="2460"/>
            <w:vAlign w:val="center"/>
          </w:tcPr>
          <w:p>
            <w:pPr>
              <w:spacing w:after="0"/>
            </w:pPr>
            <w:r>
              <w:rPr>
                <w:rFonts w:ascii="Aptos" w:hAnsi="Aptos"/>
                <w:b w:val="0"/>
                <w:color w:val="1F2933"/>
                <w:sz w:val="17"/>
              </w:rPr>
              <w:t>Each role sees only approved menus and data.</w:t>
            </w:r>
          </w:p>
        </w:tc>
      </w:tr>
      <w:tr>
        <w:tc>
          <w:tcPr>
            <w:tcW w:type="dxa" w:w="2250"/>
            <w:vAlign w:val="center"/>
          </w:tcPr>
          <w:p>
            <w:pPr>
              <w:spacing w:after="0"/>
            </w:pPr>
            <w:r>
              <w:rPr>
                <w:rFonts w:ascii="Aptos" w:hAnsi="Aptos"/>
                <w:b/>
                <w:color w:val="102A43"/>
                <w:sz w:val="17"/>
              </w:rPr>
              <w:t>Action rights</w:t>
            </w:r>
          </w:p>
        </w:tc>
        <w:tc>
          <w:tcPr>
            <w:tcW w:type="dxa" w:w="4650"/>
            <w:vAlign w:val="center"/>
          </w:tcPr>
          <w:p>
            <w:pPr>
              <w:spacing w:after="0"/>
            </w:pPr>
            <w:r>
              <w:rPr>
                <w:rFonts w:ascii="Aptos" w:hAnsi="Aptos"/>
                <w:b w:val="0"/>
                <w:color w:val="1F2933"/>
                <w:sz w:val="17"/>
              </w:rPr>
              <w:t>Enforce view, entry, edit and delete separately in both API and frontend.</w:t>
            </w:r>
          </w:p>
        </w:tc>
        <w:tc>
          <w:tcPr>
            <w:tcW w:type="dxa" w:w="2460"/>
            <w:vAlign w:val="center"/>
          </w:tcPr>
          <w:p>
            <w:pPr>
              <w:spacing w:after="0"/>
            </w:pPr>
            <w:r>
              <w:rPr>
                <w:rFonts w:ascii="Aptos" w:hAnsi="Aptos"/>
                <w:b w:val="0"/>
                <w:color w:val="1F2933"/>
                <w:sz w:val="17"/>
              </w:rPr>
              <w:t>StoreManager has view/entry but restricted edit/delete; delete remains Owner/Admin.</w:t>
            </w:r>
          </w:p>
        </w:tc>
      </w:tr>
      <w:tr>
        <w:tc>
          <w:tcPr>
            <w:tcW w:type="dxa" w:w="2250"/>
            <w:vAlign w:val="center"/>
          </w:tcPr>
          <w:p>
            <w:pPr>
              <w:spacing w:after="0"/>
            </w:pPr>
            <w:r>
              <w:rPr>
                <w:rFonts w:ascii="Aptos" w:hAnsi="Aptos"/>
                <w:b/>
                <w:color w:val="102A43"/>
                <w:sz w:val="17"/>
              </w:rPr>
              <w:t>Admin isolation</w:t>
            </w:r>
          </w:p>
        </w:tc>
        <w:tc>
          <w:tcPr>
            <w:tcW w:type="dxa" w:w="4650"/>
            <w:vAlign w:val="center"/>
          </w:tcPr>
          <w:p>
            <w:pPr>
              <w:spacing w:after="0"/>
            </w:pPr>
            <w:r>
              <w:rPr>
                <w:rFonts w:ascii="Aptos" w:hAnsi="Aptos"/>
                <w:b w:val="0"/>
                <w:color w:val="1F2933"/>
                <w:sz w:val="17"/>
              </w:rPr>
              <w:t>Keep Company, Roles/Users, onboarding, seeding and administrative tools hidden and blocked for unauthorized roles.</w:t>
            </w:r>
          </w:p>
        </w:tc>
        <w:tc>
          <w:tcPr>
            <w:tcW w:type="dxa" w:w="2460"/>
            <w:vAlign w:val="center"/>
          </w:tcPr>
          <w:p>
            <w:pPr>
              <w:spacing w:after="0"/>
            </w:pPr>
            <w:r>
              <w:rPr>
                <w:rFonts w:ascii="Aptos" w:hAnsi="Aptos"/>
                <w:b w:val="0"/>
                <w:color w:val="1F2933"/>
                <w:sz w:val="17"/>
              </w:rPr>
              <w:t>Direct URL and API attempts are denied.</w:t>
            </w:r>
          </w:p>
        </w:tc>
      </w:tr>
      <w:tr>
        <w:tc>
          <w:tcPr>
            <w:tcW w:type="dxa" w:w="2250"/>
            <w:vAlign w:val="center"/>
          </w:tcPr>
          <w:p>
            <w:pPr>
              <w:spacing w:after="0"/>
            </w:pPr>
            <w:r>
              <w:rPr>
                <w:rFonts w:ascii="Aptos" w:hAnsi="Aptos"/>
                <w:b/>
                <w:color w:val="102A43"/>
                <w:sz w:val="17"/>
              </w:rPr>
              <w:t>Scope rules</w:t>
            </w:r>
          </w:p>
        </w:tc>
        <w:tc>
          <w:tcPr>
            <w:tcW w:type="dxa" w:w="4650"/>
            <w:vAlign w:val="center"/>
          </w:tcPr>
          <w:p>
            <w:pPr>
              <w:spacing w:after="0"/>
            </w:pPr>
            <w:r>
              <w:rPr>
                <w:rFonts w:ascii="Aptos" w:hAnsi="Aptos"/>
                <w:b w:val="0"/>
                <w:color w:val="1F2933"/>
                <w:sz w:val="17"/>
              </w:rPr>
              <w:t>Validate company, store-group and store locking, defaults and workspace changes.</w:t>
            </w:r>
          </w:p>
        </w:tc>
        <w:tc>
          <w:tcPr>
            <w:tcW w:type="dxa" w:w="2460"/>
            <w:vAlign w:val="center"/>
          </w:tcPr>
          <w:p>
            <w:pPr>
              <w:spacing w:after="0"/>
            </w:pPr>
            <w:r>
              <w:rPr>
                <w:rFonts w:ascii="Aptos" w:hAnsi="Aptos"/>
                <w:b w:val="0"/>
                <w:color w:val="1F2933"/>
                <w:sz w:val="17"/>
              </w:rPr>
              <w:t>Transactions cannot escape assigned scope.</w:t>
            </w:r>
          </w:p>
        </w:tc>
      </w:tr>
      <w:tr>
        <w:tc>
          <w:tcPr>
            <w:tcW w:type="dxa" w:w="2250"/>
            <w:vAlign w:val="center"/>
          </w:tcPr>
          <w:p>
            <w:pPr>
              <w:spacing w:after="0"/>
            </w:pPr>
            <w:r>
              <w:rPr>
                <w:rFonts w:ascii="Aptos" w:hAnsi="Aptos"/>
                <w:b/>
                <w:color w:val="102A43"/>
                <w:sz w:val="17"/>
              </w:rPr>
              <w:t>Audit trail</w:t>
            </w:r>
          </w:p>
        </w:tc>
        <w:tc>
          <w:tcPr>
            <w:tcW w:type="dxa" w:w="4650"/>
            <w:vAlign w:val="center"/>
          </w:tcPr>
          <w:p>
            <w:pPr>
              <w:spacing w:after="0"/>
            </w:pPr>
            <w:r>
              <w:rPr>
                <w:rFonts w:ascii="Aptos" w:hAnsi="Aptos"/>
                <w:b w:val="0"/>
                <w:color w:val="1F2933"/>
                <w:sz w:val="17"/>
              </w:rPr>
              <w:t>Record role, scope, status and password-administration changes.</w:t>
            </w:r>
          </w:p>
        </w:tc>
        <w:tc>
          <w:tcPr>
            <w:tcW w:type="dxa" w:w="2460"/>
            <w:vAlign w:val="center"/>
          </w:tcPr>
          <w:p>
            <w:pPr>
              <w:spacing w:after="0"/>
            </w:pPr>
            <w:r>
              <w:rPr>
                <w:rFonts w:ascii="Aptos" w:hAnsi="Aptos"/>
                <w:b w:val="0"/>
                <w:color w:val="1F2933"/>
                <w:sz w:val="17"/>
              </w:rPr>
              <w:t>Each administrative change has actor, time and target.</w:t>
            </w:r>
          </w:p>
        </w:tc>
      </w:tr>
      <w:tr>
        <w:tc>
          <w:tcPr>
            <w:tcW w:type="dxa" w:w="2250"/>
            <w:vAlign w:val="center"/>
          </w:tcPr>
          <w:p>
            <w:pPr>
              <w:spacing w:after="0"/>
            </w:pPr>
            <w:r>
              <w:rPr>
                <w:rFonts w:ascii="Aptos" w:hAnsi="Aptos"/>
                <w:b/>
                <w:color w:val="102A43"/>
                <w:sz w:val="17"/>
              </w:rPr>
              <w:t>Automated matrix</w:t>
            </w:r>
          </w:p>
        </w:tc>
        <w:tc>
          <w:tcPr>
            <w:tcW w:type="dxa" w:w="4650"/>
            <w:vAlign w:val="center"/>
          </w:tcPr>
          <w:p>
            <w:pPr>
              <w:spacing w:after="0"/>
            </w:pPr>
            <w:r>
              <w:rPr>
                <w:rFonts w:ascii="Aptos" w:hAnsi="Aptos"/>
                <w:b w:val="0"/>
                <w:color w:val="1F2933"/>
                <w:sz w:val="17"/>
              </w:rPr>
              <w:t>Create integration and browser tests for menu, route, API and action permissions.</w:t>
            </w:r>
          </w:p>
        </w:tc>
        <w:tc>
          <w:tcPr>
            <w:tcW w:type="dxa" w:w="2460"/>
            <w:vAlign w:val="center"/>
          </w:tcPr>
          <w:p>
            <w:pPr>
              <w:spacing w:after="0"/>
            </w:pPr>
            <w:r>
              <w:rPr>
                <w:rFonts w:ascii="Aptos" w:hAnsi="Aptos"/>
                <w:b w:val="0"/>
                <w:color w:val="1F2933"/>
                <w:sz w:val="17"/>
              </w:rPr>
              <w:t>Permission suite passes for every supported role.</w:t>
            </w:r>
          </w:p>
        </w:tc>
      </w:tr>
    </w:tbl>
    <w:p>
      <w:pPr>
        <w:spacing w:after="40"/>
      </w:pP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F4F6F9"/>
          </w:tcPr>
          <w:p>
            <w:pPr>
              <w:spacing w:after="40"/>
            </w:pPr>
            <w:r>
              <w:rPr>
                <w:rFonts w:ascii="Aptos" w:hAnsi="Aptos"/>
                <w:b/>
                <w:color w:val="00A6A6"/>
                <w:sz w:val="19"/>
              </w:rPr>
              <w:t xml:space="preserve">Important clarification: </w:t>
            </w:r>
            <w:r>
              <w:rPr>
                <w:rFonts w:ascii="Aptos" w:hAnsi="Aptos"/>
                <w:b w:val="0"/>
                <w:color w:val="1F2933"/>
                <w:sz w:val="19"/>
              </w:rPr>
              <w:t>The user list and core access UI already exist. Stage 8B is an audit, refinement and test phase, not a claim that user administration must be created from nothing.</w:t>
            </w:r>
          </w:p>
        </w:tc>
      </w:tr>
    </w:tbl>
    <w:p>
      <w:pPr>
        <w:spacing w:after="20"/>
      </w:pPr>
    </w:p>
    <w:p>
      <w:r>
        <w:br w:type="page"/>
      </w:r>
    </w:p>
    <w:tbl>
      <w:tblPr>
        <w:tblW w:type="dxa" w:w="9360"/>
        <w:jc w:val="center"/>
        <w:tblLayout w:type="fixed"/>
        <w:tblLook w:firstColumn="1" w:firstRow="1" w:lastColumn="0" w:lastRow="0" w:noHBand="0" w:noVBand="1" w:val="04A0"/>
      </w:tblPr>
      <w:tblGrid>
        <w:gridCol w:w="1750"/>
        <w:gridCol w:w="7610"/>
      </w:tblGrid>
      <w:tr>
        <w:tc>
          <w:tcPr>
            <w:tcW w:type="dxa" w:w="1750"/>
            <w:tcMar>
              <w:top w:w="90" w:type="dxa"/>
              <w:start w:w="120" w:type="dxa"/>
              <w:bottom w:w="90" w:type="dxa"/>
              <w:end w:w="120" w:type="dxa"/>
            </w:tcMar>
            <w:shd w:fill="00A6A6"/>
            <w:vAlign w:val="center"/>
          </w:tcPr>
          <w:p>
            <w:pPr>
              <w:spacing w:after="0"/>
              <w:jc w:val="center"/>
            </w:pPr>
            <w:r>
              <w:rPr>
                <w:rFonts w:ascii="Aptos" w:hAnsi="Aptos"/>
                <w:b/>
                <w:color w:val="FFFFFF"/>
                <w:sz w:val="30"/>
              </w:rPr>
              <w:t>8C</w:t>
            </w:r>
          </w:p>
        </w:tc>
        <w:tc>
          <w:tcPr>
            <w:tcW w:type="dxa" w:w="7610"/>
            <w:tcMar>
              <w:top w:w="90" w:type="dxa"/>
              <w:start w:w="120" w:type="dxa"/>
              <w:bottom w:w="90" w:type="dxa"/>
              <w:end w:w="120" w:type="dxa"/>
            </w:tcMar>
            <w:shd w:fill="102A43"/>
            <w:vAlign w:val="center"/>
          </w:tcPr>
          <w:p>
            <w:pPr>
              <w:spacing w:after="20"/>
            </w:pPr>
            <w:r>
              <w:rPr>
                <w:rFonts w:ascii="Aptos" w:hAnsi="Aptos"/>
                <w:b/>
                <w:color w:val="FFFFFF"/>
                <w:sz w:val="27"/>
              </w:rPr>
              <w:t>Purchase Return and Vendor Settlement</w:t>
            </w:r>
          </w:p>
          <w:p>
            <w:pPr>
              <w:spacing w:after="0"/>
            </w:pPr>
            <w:r>
              <w:rPr>
                <w:rFonts w:ascii="Aptos" w:hAnsi="Aptos"/>
                <w:b w:val="0"/>
                <w:color w:val="D7E3EF"/>
                <w:sz w:val="17"/>
              </w:rPr>
              <w:t>Post-v4.1 business completion | Repository gap analysis</w:t>
            </w:r>
          </w:p>
        </w:tc>
      </w:tr>
    </w:tbl>
    <w:p>
      <w:pPr>
        <w:spacing w:after="20"/>
      </w:pPr>
    </w:p>
    <w:p>
      <w:pPr>
        <w:spacing w:before="0" w:after="120" w:line="278" w:lineRule="auto"/>
      </w:pPr>
      <w:r>
        <w:rPr>
          <w:rFonts w:ascii="Aptos" w:hAnsi="Aptos"/>
          <w:b w:val="0"/>
          <w:color w:val="1F2933"/>
          <w:sz w:val="21"/>
        </w:rPr>
        <w:t>Objective: replace inferred purchase-return behavior with a formal, auditable document lifecycle tied to stock, GST, vendor balances and settlement.</w:t>
      </w: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Data model</w:t>
            </w:r>
          </w:p>
        </w:tc>
        <w:tc>
          <w:tcPr>
            <w:tcW w:type="dxa" w:w="4650"/>
            <w:vAlign w:val="center"/>
          </w:tcPr>
          <w:p>
            <w:pPr>
              <w:spacing w:after="0"/>
            </w:pPr>
            <w:r>
              <w:rPr>
                <w:rFonts w:ascii="Aptos" w:hAnsi="Aptos"/>
                <w:b w:val="0"/>
                <w:color w:val="1F2933"/>
                <w:sz w:val="17"/>
              </w:rPr>
              <w:t>Add PurchaseReturn and PurchaseReturnItem with original purchase references and immutable item/tax snapshots.</w:t>
            </w:r>
          </w:p>
        </w:tc>
        <w:tc>
          <w:tcPr>
            <w:tcW w:type="dxa" w:w="2460"/>
            <w:vAlign w:val="center"/>
          </w:tcPr>
          <w:p>
            <w:pPr>
              <w:spacing w:after="0"/>
            </w:pPr>
            <w:r>
              <w:rPr>
                <w:rFonts w:ascii="Aptos" w:hAnsi="Aptos"/>
                <w:b w:val="0"/>
                <w:color w:val="1F2933"/>
                <w:sz w:val="17"/>
              </w:rPr>
              <w:t>Return remains understandable even if masters change later.</w:t>
            </w:r>
          </w:p>
        </w:tc>
      </w:tr>
      <w:tr>
        <w:tc>
          <w:tcPr>
            <w:tcW w:type="dxa" w:w="2250"/>
            <w:vAlign w:val="center"/>
          </w:tcPr>
          <w:p>
            <w:pPr>
              <w:spacing w:after="0"/>
            </w:pPr>
            <w:r>
              <w:rPr>
                <w:rFonts w:ascii="Aptos" w:hAnsi="Aptos"/>
                <w:b/>
                <w:color w:val="102A43"/>
                <w:sz w:val="17"/>
              </w:rPr>
              <w:t>Return workflow</w:t>
            </w:r>
          </w:p>
        </w:tc>
        <w:tc>
          <w:tcPr>
            <w:tcW w:type="dxa" w:w="4650"/>
            <w:vAlign w:val="center"/>
          </w:tcPr>
          <w:p>
            <w:pPr>
              <w:spacing w:after="0"/>
            </w:pPr>
            <w:r>
              <w:rPr>
                <w:rFonts w:ascii="Aptos" w:hAnsi="Aptos"/>
                <w:b w:val="0"/>
                <w:color w:val="1F2933"/>
                <w:sz w:val="17"/>
              </w:rPr>
              <w:t>Support partial quantities, reasons, validation against available return quantity, approval/cancellation and history.</w:t>
            </w:r>
          </w:p>
        </w:tc>
        <w:tc>
          <w:tcPr>
            <w:tcW w:type="dxa" w:w="2460"/>
            <w:vAlign w:val="center"/>
          </w:tcPr>
          <w:p>
            <w:pPr>
              <w:spacing w:after="0"/>
            </w:pPr>
            <w:r>
              <w:rPr>
                <w:rFonts w:ascii="Aptos" w:hAnsi="Aptos"/>
                <w:b w:val="0"/>
                <w:color w:val="1F2933"/>
                <w:sz w:val="17"/>
              </w:rPr>
              <w:t>No item can be over-returned.</w:t>
            </w:r>
          </w:p>
        </w:tc>
      </w:tr>
      <w:tr>
        <w:tc>
          <w:tcPr>
            <w:tcW w:type="dxa" w:w="2250"/>
            <w:vAlign w:val="center"/>
          </w:tcPr>
          <w:p>
            <w:pPr>
              <w:spacing w:after="0"/>
            </w:pPr>
            <w:r>
              <w:rPr>
                <w:rFonts w:ascii="Aptos" w:hAnsi="Aptos"/>
                <w:b/>
                <w:color w:val="102A43"/>
                <w:sz w:val="17"/>
              </w:rPr>
              <w:t>Stock posting</w:t>
            </w:r>
          </w:p>
        </w:tc>
        <w:tc>
          <w:tcPr>
            <w:tcW w:type="dxa" w:w="4650"/>
            <w:vAlign w:val="center"/>
          </w:tcPr>
          <w:p>
            <w:pPr>
              <w:spacing w:after="0"/>
            </w:pPr>
            <w:r>
              <w:rPr>
                <w:rFonts w:ascii="Aptos" w:hAnsi="Aptos"/>
                <w:b w:val="0"/>
                <w:color w:val="1F2933"/>
                <w:sz w:val="17"/>
              </w:rPr>
              <w:t>Create linked outward stock movements and reverse them on controlled cancellation.</w:t>
            </w:r>
          </w:p>
        </w:tc>
        <w:tc>
          <w:tcPr>
            <w:tcW w:type="dxa" w:w="2460"/>
            <w:vAlign w:val="center"/>
          </w:tcPr>
          <w:p>
            <w:pPr>
              <w:spacing w:after="0"/>
            </w:pPr>
            <w:r>
              <w:rPr>
                <w:rFonts w:ascii="Aptos" w:hAnsi="Aptos"/>
                <w:b w:val="0"/>
                <w:color w:val="1F2933"/>
                <w:sz w:val="17"/>
              </w:rPr>
              <w:t>Return document and movement ledger reconcile exactly.</w:t>
            </w:r>
          </w:p>
        </w:tc>
      </w:tr>
      <w:tr>
        <w:tc>
          <w:tcPr>
            <w:tcW w:type="dxa" w:w="2250"/>
            <w:vAlign w:val="center"/>
          </w:tcPr>
          <w:p>
            <w:pPr>
              <w:spacing w:after="0"/>
            </w:pPr>
            <w:r>
              <w:rPr>
                <w:rFonts w:ascii="Aptos" w:hAnsi="Aptos"/>
                <w:b/>
                <w:color w:val="102A43"/>
                <w:sz w:val="17"/>
              </w:rPr>
              <w:t>GST treatment</w:t>
            </w:r>
          </w:p>
        </w:tc>
        <w:tc>
          <w:tcPr>
            <w:tcW w:type="dxa" w:w="4650"/>
            <w:vAlign w:val="center"/>
          </w:tcPr>
          <w:p>
            <w:pPr>
              <w:spacing w:after="0"/>
            </w:pPr>
            <w:r>
              <w:rPr>
                <w:rFonts w:ascii="Aptos" w:hAnsi="Aptos"/>
                <w:b w:val="0"/>
                <w:color w:val="1F2933"/>
                <w:sz w:val="17"/>
              </w:rPr>
              <w:t>Calculate item-level HSN, CGST, SGST and IGST reversal for input tax credit.</w:t>
            </w:r>
          </w:p>
        </w:tc>
        <w:tc>
          <w:tcPr>
            <w:tcW w:type="dxa" w:w="2460"/>
            <w:vAlign w:val="center"/>
          </w:tcPr>
          <w:p>
            <w:pPr>
              <w:spacing w:after="0"/>
            </w:pPr>
            <w:r>
              <w:rPr>
                <w:rFonts w:ascii="Aptos" w:hAnsi="Aptos"/>
                <w:b w:val="0"/>
                <w:color w:val="1F2933"/>
                <w:sz w:val="17"/>
              </w:rPr>
              <w:t>GST return data matches return items.</w:t>
            </w:r>
          </w:p>
        </w:tc>
      </w:tr>
      <w:tr>
        <w:tc>
          <w:tcPr>
            <w:tcW w:type="dxa" w:w="2250"/>
            <w:vAlign w:val="center"/>
          </w:tcPr>
          <w:p>
            <w:pPr>
              <w:spacing w:after="0"/>
            </w:pPr>
            <w:r>
              <w:rPr>
                <w:rFonts w:ascii="Aptos" w:hAnsi="Aptos"/>
                <w:b/>
                <w:color w:val="102A43"/>
                <w:sz w:val="17"/>
              </w:rPr>
              <w:t>Commercial note</w:t>
            </w:r>
          </w:p>
        </w:tc>
        <w:tc>
          <w:tcPr>
            <w:tcW w:type="dxa" w:w="4650"/>
            <w:vAlign w:val="center"/>
          </w:tcPr>
          <w:p>
            <w:pPr>
              <w:spacing w:after="0"/>
            </w:pPr>
            <w:r>
              <w:rPr>
                <w:rFonts w:ascii="Aptos" w:hAnsi="Aptos"/>
                <w:b w:val="0"/>
                <w:color w:val="1F2933"/>
                <w:sz w:val="17"/>
              </w:rPr>
              <w:t>Create/link vendor debit notes and provide A4/A5/PDF print actions.</w:t>
            </w:r>
          </w:p>
        </w:tc>
        <w:tc>
          <w:tcPr>
            <w:tcW w:type="dxa" w:w="2460"/>
            <w:vAlign w:val="center"/>
          </w:tcPr>
          <w:p>
            <w:pPr>
              <w:spacing w:after="0"/>
            </w:pPr>
            <w:r>
              <w:rPr>
                <w:rFonts w:ascii="Aptos" w:hAnsi="Aptos"/>
                <w:b w:val="0"/>
                <w:color w:val="1F2933"/>
                <w:sz w:val="17"/>
              </w:rPr>
              <w:t>Return, note and original purchase are mutually traceable.</w:t>
            </w:r>
          </w:p>
        </w:tc>
      </w:tr>
      <w:tr>
        <w:tc>
          <w:tcPr>
            <w:tcW w:type="dxa" w:w="2250"/>
            <w:vAlign w:val="center"/>
          </w:tcPr>
          <w:p>
            <w:pPr>
              <w:spacing w:after="0"/>
            </w:pPr>
            <w:r>
              <w:rPr>
                <w:rFonts w:ascii="Aptos" w:hAnsi="Aptos"/>
                <w:b/>
                <w:color w:val="102A43"/>
                <w:sz w:val="17"/>
              </w:rPr>
              <w:t>Settlement</w:t>
            </w:r>
          </w:p>
        </w:tc>
        <w:tc>
          <w:tcPr>
            <w:tcW w:type="dxa" w:w="4650"/>
            <w:vAlign w:val="center"/>
          </w:tcPr>
          <w:p>
            <w:pPr>
              <w:spacing w:after="0"/>
            </w:pPr>
            <w:r>
              <w:rPr>
                <w:rFonts w:ascii="Aptos" w:hAnsi="Aptos"/>
                <w:b w:val="0"/>
                <w:color w:val="1F2933"/>
                <w:sz w:val="17"/>
              </w:rPr>
              <w:t>Support vendor refund receipt, balance adjustment, replacement and outstanding carry-forward.</w:t>
            </w:r>
          </w:p>
        </w:tc>
        <w:tc>
          <w:tcPr>
            <w:tcW w:type="dxa" w:w="2460"/>
            <w:vAlign w:val="center"/>
          </w:tcPr>
          <w:p>
            <w:pPr>
              <w:spacing w:after="0"/>
            </w:pPr>
            <w:r>
              <w:rPr>
                <w:rFonts w:ascii="Aptos" w:hAnsi="Aptos"/>
                <w:b w:val="0"/>
                <w:color w:val="1F2933"/>
                <w:sz w:val="17"/>
              </w:rPr>
              <w:t>Vendor subledger equals the chosen settlement path.</w:t>
            </w:r>
          </w:p>
        </w:tc>
      </w:tr>
      <w:tr>
        <w:tc>
          <w:tcPr>
            <w:tcW w:type="dxa" w:w="2250"/>
            <w:vAlign w:val="center"/>
          </w:tcPr>
          <w:p>
            <w:pPr>
              <w:spacing w:after="0"/>
            </w:pPr>
            <w:r>
              <w:rPr>
                <w:rFonts w:ascii="Aptos" w:hAnsi="Aptos"/>
                <w:b/>
                <w:color w:val="102A43"/>
                <w:sz w:val="17"/>
              </w:rPr>
              <w:t>Accounting</w:t>
            </w:r>
          </w:p>
        </w:tc>
        <w:tc>
          <w:tcPr>
            <w:tcW w:type="dxa" w:w="4650"/>
            <w:vAlign w:val="center"/>
          </w:tcPr>
          <w:p>
            <w:pPr>
              <w:spacing w:after="0"/>
            </w:pPr>
            <w:r>
              <w:rPr>
                <w:rFonts w:ascii="Aptos" w:hAnsi="Aptos"/>
                <w:b w:val="0"/>
                <w:color w:val="1F2933"/>
                <w:sz w:val="17"/>
              </w:rPr>
              <w:t>Post balanced journals through the existing accounting service.</w:t>
            </w:r>
          </w:p>
        </w:tc>
        <w:tc>
          <w:tcPr>
            <w:tcW w:type="dxa" w:w="2460"/>
            <w:vAlign w:val="center"/>
          </w:tcPr>
          <w:p>
            <w:pPr>
              <w:spacing w:after="0"/>
            </w:pPr>
            <w:r>
              <w:rPr>
                <w:rFonts w:ascii="Aptos" w:hAnsi="Aptos"/>
                <w:b w:val="0"/>
                <w:color w:val="1F2933"/>
                <w:sz w:val="17"/>
              </w:rPr>
              <w:t>Journal, vendor ledger and bank/cash account reconcile.</w:t>
            </w:r>
          </w:p>
        </w:tc>
      </w:tr>
      <w:tr>
        <w:tc>
          <w:tcPr>
            <w:tcW w:type="dxa" w:w="2250"/>
            <w:vAlign w:val="center"/>
          </w:tcPr>
          <w:p>
            <w:pPr>
              <w:spacing w:after="0"/>
            </w:pPr>
            <w:r>
              <w:rPr>
                <w:rFonts w:ascii="Aptos" w:hAnsi="Aptos"/>
                <w:b/>
                <w:color w:val="102A43"/>
                <w:sz w:val="17"/>
              </w:rPr>
              <w:t>Audit</w:t>
            </w:r>
          </w:p>
        </w:tc>
        <w:tc>
          <w:tcPr>
            <w:tcW w:type="dxa" w:w="4650"/>
            <w:vAlign w:val="center"/>
          </w:tcPr>
          <w:p>
            <w:pPr>
              <w:spacing w:after="0"/>
            </w:pPr>
            <w:r>
              <w:rPr>
                <w:rFonts w:ascii="Aptos" w:hAnsi="Aptos"/>
                <w:b w:val="0"/>
                <w:color w:val="1F2933"/>
                <w:sz w:val="17"/>
              </w:rPr>
              <w:t>Record create, approve, settle, cancel and reprint events.</w:t>
            </w:r>
          </w:p>
        </w:tc>
        <w:tc>
          <w:tcPr>
            <w:tcW w:type="dxa" w:w="2460"/>
            <w:vAlign w:val="center"/>
          </w:tcPr>
          <w:p>
            <w:pPr>
              <w:spacing w:after="0"/>
            </w:pPr>
            <w:r>
              <w:rPr>
                <w:rFonts w:ascii="Aptos" w:hAnsi="Aptos"/>
                <w:b w:val="0"/>
                <w:color w:val="1F2933"/>
                <w:sz w:val="17"/>
              </w:rPr>
              <w:t>Complete lifecycle visible from the return detail page.</w:t>
            </w:r>
          </w:p>
        </w:tc>
      </w:tr>
    </w:tbl>
    <w:p>
      <w:pPr>
        <w:spacing w:after="40"/>
      </w:pPr>
    </w:p>
    <w:p>
      <w:r>
        <w:br w:type="page"/>
      </w:r>
    </w:p>
    <w:tbl>
      <w:tblPr>
        <w:tblW w:type="dxa" w:w="9360"/>
        <w:jc w:val="center"/>
        <w:tblLayout w:type="fixed"/>
        <w:tblLook w:firstColumn="1" w:firstRow="1" w:lastColumn="0" w:lastRow="0" w:noHBand="0" w:noVBand="1" w:val="04A0"/>
      </w:tblPr>
      <w:tblGrid>
        <w:gridCol w:w="1750"/>
        <w:gridCol w:w="7610"/>
      </w:tblGrid>
      <w:tr>
        <w:tc>
          <w:tcPr>
            <w:tcW w:type="dxa" w:w="1750"/>
            <w:tcMar>
              <w:top w:w="90" w:type="dxa"/>
              <w:start w:w="120" w:type="dxa"/>
              <w:bottom w:w="90" w:type="dxa"/>
              <w:end w:w="120" w:type="dxa"/>
            </w:tcMar>
            <w:shd w:fill="00A6A6"/>
            <w:vAlign w:val="center"/>
          </w:tcPr>
          <w:p>
            <w:pPr>
              <w:spacing w:after="0"/>
              <w:jc w:val="center"/>
            </w:pPr>
            <w:r>
              <w:rPr>
                <w:rFonts w:ascii="Aptos" w:hAnsi="Aptos"/>
                <w:b/>
                <w:color w:val="FFFFFF"/>
                <w:sz w:val="30"/>
              </w:rPr>
              <w:t>8D</w:t>
            </w:r>
          </w:p>
        </w:tc>
        <w:tc>
          <w:tcPr>
            <w:tcW w:type="dxa" w:w="7610"/>
            <w:tcMar>
              <w:top w:w="90" w:type="dxa"/>
              <w:start w:w="120" w:type="dxa"/>
              <w:bottom w:w="90" w:type="dxa"/>
              <w:end w:w="120" w:type="dxa"/>
            </w:tcMar>
            <w:shd w:fill="102A43"/>
            <w:vAlign w:val="center"/>
          </w:tcPr>
          <w:p>
            <w:pPr>
              <w:spacing w:after="20"/>
            </w:pPr>
            <w:r>
              <w:rPr>
                <w:rFonts w:ascii="Aptos" w:hAnsi="Aptos"/>
                <w:b/>
                <w:color w:val="FFFFFF"/>
                <w:sz w:val="27"/>
              </w:rPr>
              <w:t>Inventory Documents and Valuation</w:t>
            </w:r>
          </w:p>
          <w:p>
            <w:pPr>
              <w:spacing w:after="0"/>
            </w:pPr>
            <w:r>
              <w:rPr>
                <w:rFonts w:ascii="Aptos" w:hAnsi="Aptos"/>
                <w:b w:val="0"/>
                <w:color w:val="D7E3EF"/>
                <w:sz w:val="17"/>
              </w:rPr>
              <w:t>Inventory authority program | Repository gap analysis</w:t>
            </w:r>
          </w:p>
        </w:tc>
      </w:tr>
    </w:tbl>
    <w:p>
      <w:pPr>
        <w:spacing w:after="20"/>
      </w:pPr>
    </w:p>
    <w:p>
      <w:pPr>
        <w:spacing w:before="0" w:after="120" w:line="278" w:lineRule="auto"/>
      </w:pPr>
      <w:r>
        <w:rPr>
          <w:rFonts w:ascii="Aptos" w:hAnsi="Aptos"/>
          <w:b w:val="0"/>
          <w:color w:val="1F2933"/>
          <w:sz w:val="21"/>
        </w:rPr>
        <w:t>Objective: make inventory defensible through formal documents, an authoritative movement ledger, consistent valuation and reconciliation reports.</w:t>
      </w: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Adjustment document</w:t>
            </w:r>
          </w:p>
        </w:tc>
        <w:tc>
          <w:tcPr>
            <w:tcW w:type="dxa" w:w="4650"/>
            <w:vAlign w:val="center"/>
          </w:tcPr>
          <w:p>
            <w:pPr>
              <w:spacing w:after="0"/>
            </w:pPr>
            <w:r>
              <w:rPr>
                <w:rFonts w:ascii="Aptos" w:hAnsi="Aptos"/>
                <w:b w:val="0"/>
                <w:color w:val="1F2933"/>
                <w:sz w:val="17"/>
              </w:rPr>
              <w:t>Add header/items for damage, shortage, excess, write-off and correction with reason and approval.</w:t>
            </w:r>
          </w:p>
        </w:tc>
        <w:tc>
          <w:tcPr>
            <w:tcW w:type="dxa" w:w="2460"/>
            <w:vAlign w:val="center"/>
          </w:tcPr>
          <w:p>
            <w:pPr>
              <w:spacing w:after="0"/>
            </w:pPr>
            <w:r>
              <w:rPr>
                <w:rFonts w:ascii="Aptos" w:hAnsi="Aptos"/>
                <w:b w:val="0"/>
                <w:color w:val="1F2933"/>
                <w:sz w:val="17"/>
              </w:rPr>
              <w:t>Each adjustment has a source document.</w:t>
            </w:r>
          </w:p>
        </w:tc>
      </w:tr>
      <w:tr>
        <w:tc>
          <w:tcPr>
            <w:tcW w:type="dxa" w:w="2250"/>
            <w:vAlign w:val="center"/>
          </w:tcPr>
          <w:p>
            <w:pPr>
              <w:spacing w:after="0"/>
            </w:pPr>
            <w:r>
              <w:rPr>
                <w:rFonts w:ascii="Aptos" w:hAnsi="Aptos"/>
                <w:b/>
                <w:color w:val="102A43"/>
                <w:sz w:val="17"/>
              </w:rPr>
              <w:t>Transfer document</w:t>
            </w:r>
          </w:p>
        </w:tc>
        <w:tc>
          <w:tcPr>
            <w:tcW w:type="dxa" w:w="4650"/>
            <w:vAlign w:val="center"/>
          </w:tcPr>
          <w:p>
            <w:pPr>
              <w:spacing w:after="0"/>
            </w:pPr>
            <w:r>
              <w:rPr>
                <w:rFonts w:ascii="Aptos" w:hAnsi="Aptos"/>
                <w:b w:val="0"/>
                <w:color w:val="1F2933"/>
                <w:sz w:val="17"/>
              </w:rPr>
              <w:t>Add source/destination stores, dispatch, receive, variance and in-transit states.</w:t>
            </w:r>
          </w:p>
        </w:tc>
        <w:tc>
          <w:tcPr>
            <w:tcW w:type="dxa" w:w="2460"/>
            <w:vAlign w:val="center"/>
          </w:tcPr>
          <w:p>
            <w:pPr>
              <w:spacing w:after="0"/>
            </w:pPr>
            <w:r>
              <w:rPr>
                <w:rFonts w:ascii="Aptos" w:hAnsi="Aptos"/>
                <w:b w:val="0"/>
                <w:color w:val="1F2933"/>
                <w:sz w:val="17"/>
              </w:rPr>
              <w:t>Both stores reconcile without duplicate stock.</w:t>
            </w:r>
          </w:p>
        </w:tc>
      </w:tr>
      <w:tr>
        <w:tc>
          <w:tcPr>
            <w:tcW w:type="dxa" w:w="2250"/>
            <w:vAlign w:val="center"/>
          </w:tcPr>
          <w:p>
            <w:pPr>
              <w:spacing w:after="0"/>
            </w:pPr>
            <w:r>
              <w:rPr>
                <w:rFonts w:ascii="Aptos" w:hAnsi="Aptos"/>
                <w:b/>
                <w:color w:val="102A43"/>
                <w:sz w:val="17"/>
              </w:rPr>
              <w:t>Physical count</w:t>
            </w:r>
          </w:p>
        </w:tc>
        <w:tc>
          <w:tcPr>
            <w:tcW w:type="dxa" w:w="4650"/>
            <w:vAlign w:val="center"/>
          </w:tcPr>
          <w:p>
            <w:pPr>
              <w:spacing w:after="0"/>
            </w:pPr>
            <w:r>
              <w:rPr>
                <w:rFonts w:ascii="Aptos" w:hAnsi="Aptos"/>
                <w:b w:val="0"/>
                <w:color w:val="1F2933"/>
                <w:sz w:val="17"/>
              </w:rPr>
              <w:t>Add count sessions, snapshots, counted quantities, variances, approval and posting.</w:t>
            </w:r>
          </w:p>
        </w:tc>
        <w:tc>
          <w:tcPr>
            <w:tcW w:type="dxa" w:w="2460"/>
            <w:vAlign w:val="center"/>
          </w:tcPr>
          <w:p>
            <w:pPr>
              <w:spacing w:after="0"/>
            </w:pPr>
            <w:r>
              <w:rPr>
                <w:rFonts w:ascii="Aptos" w:hAnsi="Aptos"/>
                <w:b w:val="0"/>
                <w:color w:val="1F2933"/>
                <w:sz w:val="17"/>
              </w:rPr>
              <w:t>Posted variance links to movement and journal entries.</w:t>
            </w:r>
          </w:p>
        </w:tc>
      </w:tr>
      <w:tr>
        <w:tc>
          <w:tcPr>
            <w:tcW w:type="dxa" w:w="2250"/>
            <w:vAlign w:val="center"/>
          </w:tcPr>
          <w:p>
            <w:pPr>
              <w:spacing w:after="0"/>
            </w:pPr>
            <w:r>
              <w:rPr>
                <w:rFonts w:ascii="Aptos" w:hAnsi="Aptos"/>
                <w:b/>
                <w:color w:val="102A43"/>
                <w:sz w:val="17"/>
              </w:rPr>
              <w:t>Movement authority</w:t>
            </w:r>
          </w:p>
        </w:tc>
        <w:tc>
          <w:tcPr>
            <w:tcW w:type="dxa" w:w="4650"/>
            <w:vAlign w:val="center"/>
          </w:tcPr>
          <w:p>
            <w:pPr>
              <w:spacing w:after="0"/>
            </w:pPr>
            <w:r>
              <w:rPr>
                <w:rFonts w:ascii="Aptos" w:hAnsi="Aptos"/>
                <w:b w:val="0"/>
                <w:color w:val="1F2933"/>
                <w:sz w:val="17"/>
              </w:rPr>
              <w:t>Derive stock balance from StockMovement rather than cumulative purchase/sold counters.</w:t>
            </w:r>
          </w:p>
        </w:tc>
        <w:tc>
          <w:tcPr>
            <w:tcW w:type="dxa" w:w="2460"/>
            <w:vAlign w:val="center"/>
          </w:tcPr>
          <w:p>
            <w:pPr>
              <w:spacing w:after="0"/>
            </w:pPr>
            <w:r>
              <w:rPr>
                <w:rFonts w:ascii="Aptos" w:hAnsi="Aptos"/>
                <w:b w:val="0"/>
                <w:color w:val="1F2933"/>
                <w:sz w:val="17"/>
              </w:rPr>
              <w:t>Movement sum equals displayed and report stock.</w:t>
            </w:r>
          </w:p>
        </w:tc>
      </w:tr>
      <w:tr>
        <w:tc>
          <w:tcPr>
            <w:tcW w:type="dxa" w:w="2250"/>
            <w:vAlign w:val="center"/>
          </w:tcPr>
          <w:p>
            <w:pPr>
              <w:spacing w:after="0"/>
            </w:pPr>
            <w:r>
              <w:rPr>
                <w:rFonts w:ascii="Aptos" w:hAnsi="Aptos"/>
                <w:b/>
                <w:color w:val="102A43"/>
                <w:sz w:val="17"/>
              </w:rPr>
              <w:t>Valuation</w:t>
            </w:r>
          </w:p>
        </w:tc>
        <w:tc>
          <w:tcPr>
            <w:tcW w:type="dxa" w:w="4650"/>
            <w:vAlign w:val="center"/>
          </w:tcPr>
          <w:p>
            <w:pPr>
              <w:spacing w:after="0"/>
            </w:pPr>
            <w:r>
              <w:rPr>
                <w:rFonts w:ascii="Aptos" w:hAnsi="Aptos"/>
                <w:b w:val="0"/>
                <w:color w:val="1F2933"/>
                <w:sz w:val="17"/>
              </w:rPr>
              <w:t>Implement weighted-average cost first and document treatment of returns, transfers and adjustments.</w:t>
            </w:r>
          </w:p>
        </w:tc>
        <w:tc>
          <w:tcPr>
            <w:tcW w:type="dxa" w:w="2460"/>
            <w:vAlign w:val="center"/>
          </w:tcPr>
          <w:p>
            <w:pPr>
              <w:spacing w:after="0"/>
            </w:pPr>
            <w:r>
              <w:rPr>
                <w:rFonts w:ascii="Aptos" w:hAnsi="Aptos"/>
                <w:b w:val="0"/>
                <w:color w:val="1F2933"/>
                <w:sz w:val="17"/>
              </w:rPr>
              <w:t>Valuation report reproduces ledger value.</w:t>
            </w:r>
          </w:p>
        </w:tc>
      </w:tr>
      <w:tr>
        <w:tc>
          <w:tcPr>
            <w:tcW w:type="dxa" w:w="2250"/>
            <w:vAlign w:val="center"/>
          </w:tcPr>
          <w:p>
            <w:pPr>
              <w:spacing w:after="0"/>
            </w:pPr>
            <w:r>
              <w:rPr>
                <w:rFonts w:ascii="Aptos" w:hAnsi="Aptos"/>
                <w:b/>
                <w:color w:val="102A43"/>
                <w:sz w:val="17"/>
              </w:rPr>
              <w:t>Accounting</w:t>
            </w:r>
          </w:p>
        </w:tc>
        <w:tc>
          <w:tcPr>
            <w:tcW w:type="dxa" w:w="4650"/>
            <w:vAlign w:val="center"/>
          </w:tcPr>
          <w:p>
            <w:pPr>
              <w:spacing w:after="0"/>
            </w:pPr>
            <w:r>
              <w:rPr>
                <w:rFonts w:ascii="Aptos" w:hAnsi="Aptos"/>
                <w:b w:val="0"/>
                <w:color w:val="1F2933"/>
                <w:sz w:val="17"/>
              </w:rPr>
              <w:t>Post shortage, excess, write-off and transfer implications where required.</w:t>
            </w:r>
          </w:p>
        </w:tc>
        <w:tc>
          <w:tcPr>
            <w:tcW w:type="dxa" w:w="2460"/>
            <w:vAlign w:val="center"/>
          </w:tcPr>
          <w:p>
            <w:pPr>
              <w:spacing w:after="0"/>
            </w:pPr>
            <w:r>
              <w:rPr>
                <w:rFonts w:ascii="Aptos" w:hAnsi="Aptos"/>
                <w:b w:val="0"/>
                <w:color w:val="1F2933"/>
                <w:sz w:val="17"/>
              </w:rPr>
              <w:t>Inventory value and accounting remain aligned.</w:t>
            </w:r>
          </w:p>
        </w:tc>
      </w:tr>
      <w:tr>
        <w:tc>
          <w:tcPr>
            <w:tcW w:type="dxa" w:w="2250"/>
            <w:vAlign w:val="center"/>
          </w:tcPr>
          <w:p>
            <w:pPr>
              <w:spacing w:after="0"/>
            </w:pPr>
            <w:r>
              <w:rPr>
                <w:rFonts w:ascii="Aptos" w:hAnsi="Aptos"/>
                <w:b/>
                <w:color w:val="102A43"/>
                <w:sz w:val="17"/>
              </w:rPr>
              <w:t>Analytics</w:t>
            </w:r>
          </w:p>
        </w:tc>
        <w:tc>
          <w:tcPr>
            <w:tcW w:type="dxa" w:w="4650"/>
            <w:vAlign w:val="center"/>
          </w:tcPr>
          <w:p>
            <w:pPr>
              <w:spacing w:after="0"/>
            </w:pPr>
            <w:r>
              <w:rPr>
                <w:rFonts w:ascii="Aptos" w:hAnsi="Aptos"/>
                <w:b w:val="0"/>
                <w:color w:val="1F2933"/>
                <w:sz w:val="17"/>
              </w:rPr>
              <w:t>Add ageing, low-stock risk, slow-moving, valuation and reconciliation reports.</w:t>
            </w:r>
          </w:p>
        </w:tc>
        <w:tc>
          <w:tcPr>
            <w:tcW w:type="dxa" w:w="2460"/>
            <w:vAlign w:val="center"/>
          </w:tcPr>
          <w:p>
            <w:pPr>
              <w:spacing w:after="0"/>
            </w:pPr>
            <w:r>
              <w:rPr>
                <w:rFonts w:ascii="Aptos" w:hAnsi="Aptos"/>
                <w:b w:val="0"/>
                <w:color w:val="1F2933"/>
                <w:sz w:val="17"/>
              </w:rPr>
              <w:t>Reports support store and company scopes.</w:t>
            </w:r>
          </w:p>
        </w:tc>
      </w:tr>
      <w:tr>
        <w:tc>
          <w:tcPr>
            <w:tcW w:type="dxa" w:w="2250"/>
            <w:vAlign w:val="center"/>
          </w:tcPr>
          <w:p>
            <w:pPr>
              <w:spacing w:after="0"/>
            </w:pPr>
            <w:r>
              <w:rPr>
                <w:rFonts w:ascii="Aptos" w:hAnsi="Aptos"/>
                <w:b/>
                <w:color w:val="102A43"/>
                <w:sz w:val="17"/>
              </w:rPr>
              <w:t>Concurrency</w:t>
            </w:r>
          </w:p>
        </w:tc>
        <w:tc>
          <w:tcPr>
            <w:tcW w:type="dxa" w:w="4650"/>
            <w:vAlign w:val="center"/>
          </w:tcPr>
          <w:p>
            <w:pPr>
              <w:spacing w:after="0"/>
            </w:pPr>
            <w:r>
              <w:rPr>
                <w:rFonts w:ascii="Aptos" w:hAnsi="Aptos"/>
                <w:b w:val="0"/>
                <w:color w:val="1F2933"/>
                <w:sz w:val="17"/>
              </w:rPr>
              <w:t>Test sequence safety, stock locks, negative-stock policy and competing transactions.</w:t>
            </w:r>
          </w:p>
        </w:tc>
        <w:tc>
          <w:tcPr>
            <w:tcW w:type="dxa" w:w="2460"/>
            <w:vAlign w:val="center"/>
          </w:tcPr>
          <w:p>
            <w:pPr>
              <w:spacing w:after="0"/>
            </w:pPr>
            <w:r>
              <w:rPr>
                <w:rFonts w:ascii="Aptos" w:hAnsi="Aptos"/>
                <w:b w:val="0"/>
                <w:color w:val="1F2933"/>
                <w:sz w:val="17"/>
              </w:rPr>
              <w:t>Concurrent operations cannot oversell or corrupt stock.</w:t>
            </w:r>
          </w:p>
        </w:tc>
      </w:tr>
    </w:tbl>
    <w:p>
      <w:pPr>
        <w:spacing w:after="40"/>
      </w:pPr>
    </w:p>
    <w:p>
      <w:r>
        <w:br w:type="page"/>
      </w:r>
    </w:p>
    <w:tbl>
      <w:tblPr>
        <w:tblW w:type="dxa" w:w="9360"/>
        <w:jc w:val="center"/>
        <w:tblLayout w:type="fixed"/>
        <w:tblLook w:firstColumn="1" w:firstRow="1" w:lastColumn="0" w:lastRow="0" w:noHBand="0" w:noVBand="1" w:val="04A0"/>
      </w:tblPr>
      <w:tblGrid>
        <w:gridCol w:w="1750"/>
        <w:gridCol w:w="7610"/>
      </w:tblGrid>
      <w:tr>
        <w:tc>
          <w:tcPr>
            <w:tcW w:type="dxa" w:w="1750"/>
            <w:tcMar>
              <w:top w:w="90" w:type="dxa"/>
              <w:start w:w="120" w:type="dxa"/>
              <w:bottom w:w="90" w:type="dxa"/>
              <w:end w:w="120" w:type="dxa"/>
            </w:tcMar>
            <w:shd w:fill="00A6A6"/>
            <w:vAlign w:val="center"/>
          </w:tcPr>
          <w:p>
            <w:pPr>
              <w:spacing w:after="0"/>
              <w:jc w:val="center"/>
            </w:pPr>
            <w:r>
              <w:rPr>
                <w:rFonts w:ascii="Aptos" w:hAnsi="Aptos"/>
                <w:b/>
                <w:color w:val="FFFFFF"/>
                <w:sz w:val="30"/>
              </w:rPr>
              <w:t>8E</w:t>
            </w:r>
          </w:p>
        </w:tc>
        <w:tc>
          <w:tcPr>
            <w:tcW w:type="dxa" w:w="7610"/>
            <w:tcMar>
              <w:top w:w="90" w:type="dxa"/>
              <w:start w:w="120" w:type="dxa"/>
              <w:bottom w:w="90" w:type="dxa"/>
              <w:end w:w="120" w:type="dxa"/>
            </w:tcMar>
            <w:shd w:fill="102A43"/>
            <w:vAlign w:val="center"/>
          </w:tcPr>
          <w:p>
            <w:pPr>
              <w:spacing w:after="20"/>
            </w:pPr>
            <w:r>
              <w:rPr>
                <w:rFonts w:ascii="Aptos" w:hAnsi="Aptos"/>
                <w:b/>
                <w:color w:val="FFFFFF"/>
                <w:sz w:val="27"/>
              </w:rPr>
              <w:t>Accounting, Banking and Payment Hardening</w:t>
            </w:r>
          </w:p>
          <w:p>
            <w:pPr>
              <w:spacing w:after="0"/>
            </w:pPr>
            <w:r>
              <w:rPr>
                <w:rFonts w:ascii="Aptos" w:hAnsi="Aptos"/>
                <w:b w:val="0"/>
                <w:color w:val="D7E3EF"/>
                <w:sz w:val="17"/>
              </w:rPr>
              <w:t>Financial fidelity program | Repository gap analysis</w:t>
            </w:r>
          </w:p>
        </w:tc>
      </w:tr>
    </w:tbl>
    <w:p>
      <w:pPr>
        <w:spacing w:after="20"/>
      </w:pPr>
    </w:p>
    <w:p>
      <w:pPr>
        <w:spacing w:before="0" w:after="120" w:line="278" w:lineRule="auto"/>
      </w:pPr>
      <w:r>
        <w:rPr>
          <w:rFonts w:ascii="Aptos" w:hAnsi="Aptos"/>
          <w:b w:val="0"/>
          <w:color w:val="1F2933"/>
          <w:sz w:val="21"/>
        </w:rPr>
        <w:t>Objective: ensure every payment instrument, allocation and derived ledger relationship is complete, balanced and auditable under Indian accounting practice.</w:t>
      </w: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Split payment posting</w:t>
            </w:r>
          </w:p>
        </w:tc>
        <w:tc>
          <w:tcPr>
            <w:tcW w:type="dxa" w:w="4650"/>
            <w:vAlign w:val="center"/>
          </w:tcPr>
          <w:p>
            <w:pPr>
              <w:spacing w:after="0"/>
            </w:pPr>
            <w:r>
              <w:rPr>
                <w:rFonts w:ascii="Aptos" w:hAnsi="Aptos"/>
                <w:b w:val="0"/>
                <w:color w:val="1F2933"/>
                <w:sz w:val="17"/>
              </w:rPr>
              <w:t>Post one accounting line per cash, card, UPI, bank, cheque, advance, credit note, loyalty or store-credit row.</w:t>
            </w:r>
          </w:p>
        </w:tc>
        <w:tc>
          <w:tcPr>
            <w:tcW w:type="dxa" w:w="2460"/>
            <w:vAlign w:val="center"/>
          </w:tcPr>
          <w:p>
            <w:pPr>
              <w:spacing w:after="0"/>
            </w:pPr>
            <w:r>
              <w:rPr>
                <w:rFonts w:ascii="Aptos" w:hAnsi="Aptos"/>
                <w:b w:val="0"/>
                <w:color w:val="1F2933"/>
                <w:sz w:val="17"/>
              </w:rPr>
              <w:t>Invoice payment rows reconcile to journal lines.</w:t>
            </w:r>
          </w:p>
        </w:tc>
      </w:tr>
      <w:tr>
        <w:tc>
          <w:tcPr>
            <w:tcW w:type="dxa" w:w="2250"/>
            <w:vAlign w:val="center"/>
          </w:tcPr>
          <w:p>
            <w:pPr>
              <w:spacing w:after="0"/>
            </w:pPr>
            <w:r>
              <w:rPr>
                <w:rFonts w:ascii="Aptos" w:hAnsi="Aptos"/>
                <w:b/>
                <w:color w:val="102A43"/>
                <w:sz w:val="17"/>
              </w:rPr>
              <w:t>Instrument details</w:t>
            </w:r>
          </w:p>
        </w:tc>
        <w:tc>
          <w:tcPr>
            <w:tcW w:type="dxa" w:w="4650"/>
            <w:vAlign w:val="center"/>
          </w:tcPr>
          <w:p>
            <w:pPr>
              <w:spacing w:after="0"/>
            </w:pPr>
            <w:r>
              <w:rPr>
                <w:rFonts w:ascii="Aptos" w:hAnsi="Aptos"/>
                <w:b w:val="0"/>
                <w:color w:val="1F2933"/>
                <w:sz w:val="17"/>
              </w:rPr>
              <w:t>Persist bank account, card/UPI reference, cheque number/date, issuer, depositor, beneficiary and purpose.</w:t>
            </w:r>
          </w:p>
        </w:tc>
        <w:tc>
          <w:tcPr>
            <w:tcW w:type="dxa" w:w="2460"/>
            <w:vAlign w:val="center"/>
          </w:tcPr>
          <w:p>
            <w:pPr>
              <w:spacing w:after="0"/>
            </w:pPr>
            <w:r>
              <w:rPr>
                <w:rFonts w:ascii="Aptos" w:hAnsi="Aptos"/>
                <w:b w:val="0"/>
                <w:color w:val="1F2933"/>
                <w:sz w:val="17"/>
              </w:rPr>
              <w:t>Audit can identify who paid whom, how and why.</w:t>
            </w:r>
          </w:p>
        </w:tc>
      </w:tr>
      <w:tr>
        <w:tc>
          <w:tcPr>
            <w:tcW w:type="dxa" w:w="2250"/>
            <w:vAlign w:val="center"/>
          </w:tcPr>
          <w:p>
            <w:pPr>
              <w:spacing w:after="0"/>
            </w:pPr>
            <w:r>
              <w:rPr>
                <w:rFonts w:ascii="Aptos" w:hAnsi="Aptos"/>
                <w:b/>
                <w:color w:val="102A43"/>
                <w:sz w:val="17"/>
              </w:rPr>
              <w:t>Value application</w:t>
            </w:r>
          </w:p>
        </w:tc>
        <w:tc>
          <w:tcPr>
            <w:tcW w:type="dxa" w:w="4650"/>
            <w:vAlign w:val="center"/>
          </w:tcPr>
          <w:p>
            <w:pPr>
              <w:spacing w:after="0"/>
            </w:pPr>
            <w:r>
              <w:rPr>
                <w:rFonts w:ascii="Aptos" w:hAnsi="Aptos"/>
                <w:b w:val="0"/>
                <w:color w:val="1F2933"/>
                <w:sz w:val="17"/>
              </w:rPr>
              <w:t>Prevent duplicate use of advances, credit notes, loyalty and store credit.</w:t>
            </w:r>
          </w:p>
        </w:tc>
        <w:tc>
          <w:tcPr>
            <w:tcW w:type="dxa" w:w="2460"/>
            <w:vAlign w:val="center"/>
          </w:tcPr>
          <w:p>
            <w:pPr>
              <w:spacing w:after="0"/>
            </w:pPr>
            <w:r>
              <w:rPr>
                <w:rFonts w:ascii="Aptos" w:hAnsi="Aptos"/>
                <w:b w:val="0"/>
                <w:color w:val="1F2933"/>
                <w:sz w:val="17"/>
              </w:rPr>
              <w:t>Each source has an application ledger and remaining balance.</w:t>
            </w:r>
          </w:p>
        </w:tc>
      </w:tr>
      <w:tr>
        <w:tc>
          <w:tcPr>
            <w:tcW w:type="dxa" w:w="2250"/>
            <w:vAlign w:val="center"/>
          </w:tcPr>
          <w:p>
            <w:pPr>
              <w:spacing w:after="0"/>
            </w:pPr>
            <w:r>
              <w:rPr>
                <w:rFonts w:ascii="Aptos" w:hAnsi="Aptos"/>
                <w:b/>
                <w:color w:val="102A43"/>
                <w:sz w:val="17"/>
              </w:rPr>
              <w:t>Bank reconciliation</w:t>
            </w:r>
          </w:p>
        </w:tc>
        <w:tc>
          <w:tcPr>
            <w:tcW w:type="dxa" w:w="4650"/>
            <w:vAlign w:val="center"/>
          </w:tcPr>
          <w:p>
            <w:pPr>
              <w:spacing w:after="0"/>
            </w:pPr>
            <w:r>
              <w:rPr>
                <w:rFonts w:ascii="Aptos" w:hAnsi="Aptos"/>
                <w:b w:val="0"/>
                <w:color w:val="1F2933"/>
                <w:sz w:val="17"/>
              </w:rPr>
              <w:t>Import/enter statement rows and match, partially match, unmatch or adjust transactions.</w:t>
            </w:r>
          </w:p>
        </w:tc>
        <w:tc>
          <w:tcPr>
            <w:tcW w:type="dxa" w:w="2460"/>
            <w:vAlign w:val="center"/>
          </w:tcPr>
          <w:p>
            <w:pPr>
              <w:spacing w:after="0"/>
            </w:pPr>
            <w:r>
              <w:rPr>
                <w:rFonts w:ascii="Aptos" w:hAnsi="Aptos"/>
                <w:b w:val="0"/>
                <w:color w:val="1F2933"/>
                <w:sz w:val="17"/>
              </w:rPr>
              <w:t>Book balance and statement balance reconcile.</w:t>
            </w:r>
          </w:p>
        </w:tc>
      </w:tr>
      <w:tr>
        <w:tc>
          <w:tcPr>
            <w:tcW w:type="dxa" w:w="2250"/>
            <w:vAlign w:val="center"/>
          </w:tcPr>
          <w:p>
            <w:pPr>
              <w:spacing w:after="0"/>
            </w:pPr>
            <w:r>
              <w:rPr>
                <w:rFonts w:ascii="Aptos" w:hAnsi="Aptos"/>
                <w:b/>
                <w:color w:val="102A43"/>
                <w:sz w:val="17"/>
              </w:rPr>
              <w:t>Cheque lifecycle</w:t>
            </w:r>
          </w:p>
        </w:tc>
        <w:tc>
          <w:tcPr>
            <w:tcW w:type="dxa" w:w="4650"/>
            <w:vAlign w:val="center"/>
          </w:tcPr>
          <w:p>
            <w:pPr>
              <w:spacing w:after="0"/>
            </w:pPr>
            <w:r>
              <w:rPr>
                <w:rFonts w:ascii="Aptos" w:hAnsi="Aptos"/>
                <w:b w:val="0"/>
                <w:color w:val="1F2933"/>
                <w:sz w:val="17"/>
              </w:rPr>
              <w:t>Track issued, received, deposited, cleared, bounced, cancelled and replaced states.</w:t>
            </w:r>
          </w:p>
        </w:tc>
        <w:tc>
          <w:tcPr>
            <w:tcW w:type="dxa" w:w="2460"/>
            <w:vAlign w:val="center"/>
          </w:tcPr>
          <w:p>
            <w:pPr>
              <w:spacing w:after="0"/>
            </w:pPr>
            <w:r>
              <w:rPr>
                <w:rFonts w:ascii="Aptos" w:hAnsi="Aptos"/>
                <w:b w:val="0"/>
                <w:color w:val="1F2933"/>
                <w:sz w:val="17"/>
              </w:rPr>
              <w:t>Cheque log and bank ledger remain synchronized.</w:t>
            </w:r>
          </w:p>
        </w:tc>
      </w:tr>
      <w:tr>
        <w:tc>
          <w:tcPr>
            <w:tcW w:type="dxa" w:w="2250"/>
            <w:vAlign w:val="center"/>
          </w:tcPr>
          <w:p>
            <w:pPr>
              <w:spacing w:after="0"/>
            </w:pPr>
            <w:r>
              <w:rPr>
                <w:rFonts w:ascii="Aptos" w:hAnsi="Aptos"/>
                <w:b/>
                <w:color w:val="102A43"/>
                <w:sz w:val="17"/>
              </w:rPr>
              <w:t>Year controls</w:t>
            </w:r>
          </w:p>
        </w:tc>
        <w:tc>
          <w:tcPr>
            <w:tcW w:type="dxa" w:w="4650"/>
            <w:vAlign w:val="center"/>
          </w:tcPr>
          <w:p>
            <w:pPr>
              <w:spacing w:after="0"/>
            </w:pPr>
            <w:r>
              <w:rPr>
                <w:rFonts w:ascii="Aptos" w:hAnsi="Aptos"/>
                <w:b w:val="0"/>
                <w:color w:val="1F2933"/>
                <w:sz w:val="17"/>
              </w:rPr>
              <w:t>Add financial-year lock, reopening authority and posting-date validation.</w:t>
            </w:r>
          </w:p>
        </w:tc>
        <w:tc>
          <w:tcPr>
            <w:tcW w:type="dxa" w:w="2460"/>
            <w:vAlign w:val="center"/>
          </w:tcPr>
          <w:p>
            <w:pPr>
              <w:spacing w:after="0"/>
            </w:pPr>
            <w:r>
              <w:rPr>
                <w:rFonts w:ascii="Aptos" w:hAnsi="Aptos"/>
                <w:b w:val="0"/>
                <w:color w:val="1F2933"/>
                <w:sz w:val="17"/>
              </w:rPr>
              <w:t>Locked periods reject unauthorized changes.</w:t>
            </w:r>
          </w:p>
        </w:tc>
      </w:tr>
      <w:tr>
        <w:tc>
          <w:tcPr>
            <w:tcW w:type="dxa" w:w="2250"/>
            <w:vAlign w:val="center"/>
          </w:tcPr>
          <w:p>
            <w:pPr>
              <w:spacing w:after="0"/>
            </w:pPr>
            <w:r>
              <w:rPr>
                <w:rFonts w:ascii="Aptos" w:hAnsi="Aptos"/>
                <w:b/>
                <w:color w:val="102A43"/>
                <w:sz w:val="17"/>
              </w:rPr>
              <w:t>Journal control</w:t>
            </w:r>
          </w:p>
        </w:tc>
        <w:tc>
          <w:tcPr>
            <w:tcW w:type="dxa" w:w="4650"/>
            <w:vAlign w:val="center"/>
          </w:tcPr>
          <w:p>
            <w:pPr>
              <w:spacing w:after="0"/>
            </w:pPr>
            <w:r>
              <w:rPr>
                <w:rFonts w:ascii="Aptos" w:hAnsi="Aptos"/>
                <w:b w:val="0"/>
                <w:color w:val="1F2933"/>
                <w:sz w:val="17"/>
              </w:rPr>
              <w:t>Strengthen debit/credit balancing, reversal and duplicate-reference rules.</w:t>
            </w:r>
          </w:p>
        </w:tc>
        <w:tc>
          <w:tcPr>
            <w:tcW w:type="dxa" w:w="2460"/>
            <w:vAlign w:val="center"/>
          </w:tcPr>
          <w:p>
            <w:pPr>
              <w:spacing w:after="0"/>
            </w:pPr>
            <w:r>
              <w:rPr>
                <w:rFonts w:ascii="Aptos" w:hAnsi="Aptos"/>
                <w:b w:val="0"/>
                <w:color w:val="1F2933"/>
                <w:sz w:val="17"/>
              </w:rPr>
              <w:t>No unbalanced journal can be posted.</w:t>
            </w:r>
          </w:p>
        </w:tc>
      </w:tr>
      <w:tr>
        <w:tc>
          <w:tcPr>
            <w:tcW w:type="dxa" w:w="2250"/>
            <w:vAlign w:val="center"/>
          </w:tcPr>
          <w:p>
            <w:pPr>
              <w:spacing w:after="0"/>
            </w:pPr>
            <w:r>
              <w:rPr>
                <w:rFonts w:ascii="Aptos" w:hAnsi="Aptos"/>
                <w:b/>
                <w:color w:val="102A43"/>
                <w:sz w:val="17"/>
              </w:rPr>
              <w:t>Derived ledgers</w:t>
            </w:r>
          </w:p>
        </w:tc>
        <w:tc>
          <w:tcPr>
            <w:tcW w:type="dxa" w:w="4650"/>
            <w:vAlign w:val="center"/>
          </w:tcPr>
          <w:p>
            <w:pPr>
              <w:spacing w:after="0"/>
            </w:pPr>
            <w:r>
              <w:rPr>
                <w:rFonts w:ascii="Aptos" w:hAnsi="Aptos"/>
                <w:b w:val="0"/>
                <w:color w:val="1F2933"/>
                <w:sz w:val="17"/>
              </w:rPr>
              <w:t>Keep Party and Bank Account ledger creation/linking internal and idempotent.</w:t>
            </w:r>
          </w:p>
        </w:tc>
        <w:tc>
          <w:tcPr>
            <w:tcW w:type="dxa" w:w="2460"/>
            <w:vAlign w:val="center"/>
          </w:tcPr>
          <w:p>
            <w:pPr>
              <w:spacing w:after="0"/>
            </w:pPr>
            <w:r>
              <w:rPr>
                <w:rFonts w:ascii="Aptos" w:hAnsi="Aptos"/>
                <w:b w:val="0"/>
                <w:color w:val="1F2933"/>
                <w:sz w:val="17"/>
              </w:rPr>
              <w:t>Users never edit internal flags; links survive rename/edit.</w:t>
            </w:r>
          </w:p>
        </w:tc>
      </w:tr>
      <w:tr>
        <w:tc>
          <w:tcPr>
            <w:tcW w:type="dxa" w:w="2250"/>
            <w:vAlign w:val="center"/>
          </w:tcPr>
          <w:p>
            <w:pPr>
              <w:spacing w:after="0"/>
            </w:pPr>
            <w:r>
              <w:rPr>
                <w:rFonts w:ascii="Aptos" w:hAnsi="Aptos"/>
                <w:b/>
                <w:color w:val="102A43"/>
                <w:sz w:val="17"/>
              </w:rPr>
              <w:t>Management views</w:t>
            </w:r>
          </w:p>
        </w:tc>
        <w:tc>
          <w:tcPr>
            <w:tcW w:type="dxa" w:w="4650"/>
            <w:vAlign w:val="center"/>
          </w:tcPr>
          <w:p>
            <w:pPr>
              <w:spacing w:after="0"/>
            </w:pPr>
            <w:r>
              <w:rPr>
                <w:rFonts w:ascii="Aptos" w:hAnsi="Aptos"/>
                <w:b w:val="0"/>
                <w:color w:val="1F2933"/>
                <w:sz w:val="17"/>
              </w:rPr>
              <w:t>Add customer/vendor dues, cash/payment summary and store-group comparisons.</w:t>
            </w:r>
          </w:p>
        </w:tc>
        <w:tc>
          <w:tcPr>
            <w:tcW w:type="dxa" w:w="2460"/>
            <w:vAlign w:val="center"/>
          </w:tcPr>
          <w:p>
            <w:pPr>
              <w:spacing w:after="0"/>
            </w:pPr>
            <w:r>
              <w:rPr>
                <w:rFonts w:ascii="Aptos" w:hAnsi="Aptos"/>
                <w:b w:val="0"/>
                <w:color w:val="1F2933"/>
                <w:sz w:val="17"/>
              </w:rPr>
              <w:t>Company dashboard exposes actionable financial positions.</w:t>
            </w:r>
          </w:p>
        </w:tc>
      </w:tr>
    </w:tbl>
    <w:p>
      <w:pPr>
        <w:spacing w:after="40"/>
      </w:pPr>
    </w:p>
    <w:p>
      <w:r>
        <w:br w:type="page"/>
      </w:r>
    </w:p>
    <w:tbl>
      <w:tblPr>
        <w:tblW w:type="dxa" w:w="9360"/>
        <w:jc w:val="center"/>
        <w:tblLayout w:type="fixed"/>
        <w:tblLook w:firstColumn="1" w:firstRow="1" w:lastColumn="0" w:lastRow="0" w:noHBand="0" w:noVBand="1" w:val="04A0"/>
      </w:tblPr>
      <w:tblGrid>
        <w:gridCol w:w="1750"/>
        <w:gridCol w:w="7610"/>
      </w:tblGrid>
      <w:tr>
        <w:tc>
          <w:tcPr>
            <w:tcW w:type="dxa" w:w="1750"/>
            <w:tcMar>
              <w:top w:w="90" w:type="dxa"/>
              <w:start w:w="120" w:type="dxa"/>
              <w:bottom w:w="90" w:type="dxa"/>
              <w:end w:w="120" w:type="dxa"/>
            </w:tcMar>
            <w:shd w:fill="00A6A6"/>
            <w:vAlign w:val="center"/>
          </w:tcPr>
          <w:p>
            <w:pPr>
              <w:spacing w:after="0"/>
              <w:jc w:val="center"/>
            </w:pPr>
            <w:r>
              <w:rPr>
                <w:rFonts w:ascii="Aptos" w:hAnsi="Aptos"/>
                <w:b/>
                <w:color w:val="FFFFFF"/>
                <w:sz w:val="30"/>
              </w:rPr>
              <w:t>8F</w:t>
            </w:r>
          </w:p>
        </w:tc>
        <w:tc>
          <w:tcPr>
            <w:tcW w:type="dxa" w:w="7610"/>
            <w:tcMar>
              <w:top w:w="90" w:type="dxa"/>
              <w:start w:w="120" w:type="dxa"/>
              <w:bottom w:w="90" w:type="dxa"/>
              <w:end w:w="120" w:type="dxa"/>
            </w:tcMar>
            <w:shd w:fill="102A43"/>
            <w:vAlign w:val="center"/>
          </w:tcPr>
          <w:p>
            <w:pPr>
              <w:spacing w:after="20"/>
            </w:pPr>
            <w:r>
              <w:rPr>
                <w:rFonts w:ascii="Aptos" w:hAnsi="Aptos"/>
                <w:b/>
                <w:color w:val="FFFFFF"/>
                <w:sz w:val="27"/>
              </w:rPr>
              <w:t>Deep Audit and Automated Testing</w:t>
            </w:r>
          </w:p>
          <w:p>
            <w:pPr>
              <w:spacing w:after="0"/>
            </w:pPr>
            <w:r>
              <w:rPr>
                <w:rFonts w:ascii="Aptos" w:hAnsi="Aptos"/>
                <w:b w:val="0"/>
                <w:color w:val="D7E3EF"/>
                <w:sz w:val="17"/>
              </w:rPr>
              <w:t>Release assurance | Repository gap analysis</w:t>
            </w:r>
          </w:p>
        </w:tc>
      </w:tr>
    </w:tbl>
    <w:p>
      <w:pPr>
        <w:spacing w:after="20"/>
      </w:pP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Change history</w:t>
            </w:r>
          </w:p>
        </w:tc>
        <w:tc>
          <w:tcPr>
            <w:tcW w:type="dxa" w:w="4650"/>
            <w:vAlign w:val="center"/>
          </w:tcPr>
          <w:p>
            <w:pPr>
              <w:spacing w:after="0"/>
            </w:pPr>
            <w:r>
              <w:rPr>
                <w:rFonts w:ascii="Aptos" w:hAnsi="Aptos"/>
                <w:b w:val="0"/>
                <w:color w:val="1F2933"/>
                <w:sz w:val="17"/>
              </w:rPr>
              <w:t>Store before/after JSON for material entities with actor, reason, time and correlation reference.</w:t>
            </w:r>
          </w:p>
        </w:tc>
        <w:tc>
          <w:tcPr>
            <w:tcW w:type="dxa" w:w="2460"/>
            <w:vAlign w:val="center"/>
          </w:tcPr>
          <w:p>
            <w:pPr>
              <w:spacing w:after="0"/>
            </w:pPr>
            <w:r>
              <w:rPr>
                <w:rFonts w:ascii="Aptos" w:hAnsi="Aptos"/>
                <w:b w:val="0"/>
                <w:color w:val="1F2933"/>
                <w:sz w:val="17"/>
              </w:rPr>
              <w:t>Auditors can reconstruct important changes.</w:t>
            </w:r>
          </w:p>
        </w:tc>
      </w:tr>
      <w:tr>
        <w:tc>
          <w:tcPr>
            <w:tcW w:type="dxa" w:w="2250"/>
            <w:vAlign w:val="center"/>
          </w:tcPr>
          <w:p>
            <w:pPr>
              <w:spacing w:after="0"/>
            </w:pPr>
            <w:r>
              <w:rPr>
                <w:rFonts w:ascii="Aptos" w:hAnsi="Aptos"/>
                <w:b/>
                <w:color w:val="102A43"/>
                <w:sz w:val="17"/>
              </w:rPr>
              <w:t>Backend tests</w:t>
            </w:r>
          </w:p>
        </w:tc>
        <w:tc>
          <w:tcPr>
            <w:tcW w:type="dxa" w:w="4650"/>
            <w:vAlign w:val="center"/>
          </w:tcPr>
          <w:p>
            <w:pPr>
              <w:spacing w:after="0"/>
            </w:pPr>
            <w:r>
              <w:rPr>
                <w:rFonts w:ascii="Aptos" w:hAnsi="Aptos"/>
                <w:b w:val="0"/>
                <w:color w:val="1F2933"/>
                <w:sz w:val="17"/>
              </w:rPr>
              <w:t>Add xUnit unit and API integration tests for domain rules and endpoints.</w:t>
            </w:r>
          </w:p>
        </w:tc>
        <w:tc>
          <w:tcPr>
            <w:tcW w:type="dxa" w:w="2460"/>
            <w:vAlign w:val="center"/>
          </w:tcPr>
          <w:p>
            <w:pPr>
              <w:spacing w:after="0"/>
            </w:pPr>
            <w:r>
              <w:rPr>
                <w:rFonts w:ascii="Aptos" w:hAnsi="Aptos"/>
                <w:b w:val="0"/>
                <w:color w:val="1F2933"/>
                <w:sz w:val="17"/>
              </w:rPr>
              <w:t>Critical modules have repeatable automated coverage.</w:t>
            </w:r>
          </w:p>
        </w:tc>
      </w:tr>
      <w:tr>
        <w:tc>
          <w:tcPr>
            <w:tcW w:type="dxa" w:w="2250"/>
            <w:vAlign w:val="center"/>
          </w:tcPr>
          <w:p>
            <w:pPr>
              <w:spacing w:after="0"/>
            </w:pPr>
            <w:r>
              <w:rPr>
                <w:rFonts w:ascii="Aptos" w:hAnsi="Aptos"/>
                <w:b/>
                <w:color w:val="102A43"/>
                <w:sz w:val="17"/>
              </w:rPr>
              <w:t>Database tests</w:t>
            </w:r>
          </w:p>
        </w:tc>
        <w:tc>
          <w:tcPr>
            <w:tcW w:type="dxa" w:w="4650"/>
            <w:vAlign w:val="center"/>
          </w:tcPr>
          <w:p>
            <w:pPr>
              <w:spacing w:after="0"/>
            </w:pPr>
            <w:r>
              <w:rPr>
                <w:rFonts w:ascii="Aptos" w:hAnsi="Aptos"/>
                <w:b w:val="0"/>
                <w:color w:val="1F2933"/>
                <w:sz w:val="17"/>
              </w:rPr>
              <w:t>Exercise PostgreSQL transactions, locks, sequences, migrations and rollback behavior.</w:t>
            </w:r>
          </w:p>
        </w:tc>
        <w:tc>
          <w:tcPr>
            <w:tcW w:type="dxa" w:w="2460"/>
            <w:vAlign w:val="center"/>
          </w:tcPr>
          <w:p>
            <w:pPr>
              <w:spacing w:after="0"/>
            </w:pPr>
            <w:r>
              <w:rPr>
                <w:rFonts w:ascii="Aptos" w:hAnsi="Aptos"/>
                <w:b w:val="0"/>
                <w:color w:val="1F2933"/>
                <w:sz w:val="17"/>
              </w:rPr>
              <w:t>Concurrency and migration scenarios pass.</w:t>
            </w:r>
          </w:p>
        </w:tc>
      </w:tr>
      <w:tr>
        <w:tc>
          <w:tcPr>
            <w:tcW w:type="dxa" w:w="2250"/>
            <w:vAlign w:val="center"/>
          </w:tcPr>
          <w:p>
            <w:pPr>
              <w:spacing w:after="0"/>
            </w:pPr>
            <w:r>
              <w:rPr>
                <w:rFonts w:ascii="Aptos" w:hAnsi="Aptos"/>
                <w:b/>
                <w:color w:val="102A43"/>
                <w:sz w:val="17"/>
              </w:rPr>
              <w:t>Financial tests</w:t>
            </w:r>
          </w:p>
        </w:tc>
        <w:tc>
          <w:tcPr>
            <w:tcW w:type="dxa" w:w="4650"/>
            <w:vAlign w:val="center"/>
          </w:tcPr>
          <w:p>
            <w:pPr>
              <w:spacing w:after="0"/>
            </w:pPr>
            <w:r>
              <w:rPr>
                <w:rFonts w:ascii="Aptos" w:hAnsi="Aptos"/>
                <w:b w:val="0"/>
                <w:color w:val="1F2933"/>
                <w:sz w:val="17"/>
              </w:rPr>
              <w:t>Cover journal balance, GST, returns, payroll, advances, dues and reconciliation.</w:t>
            </w:r>
          </w:p>
        </w:tc>
        <w:tc>
          <w:tcPr>
            <w:tcW w:type="dxa" w:w="2460"/>
            <w:vAlign w:val="center"/>
          </w:tcPr>
          <w:p>
            <w:pPr>
              <w:spacing w:after="0"/>
            </w:pPr>
            <w:r>
              <w:rPr>
                <w:rFonts w:ascii="Aptos" w:hAnsi="Aptos"/>
                <w:b w:val="0"/>
                <w:color w:val="1F2933"/>
                <w:sz w:val="17"/>
              </w:rPr>
              <w:t>Expected ledgers match golden test cases.</w:t>
            </w:r>
          </w:p>
        </w:tc>
      </w:tr>
      <w:tr>
        <w:tc>
          <w:tcPr>
            <w:tcW w:type="dxa" w:w="2250"/>
            <w:vAlign w:val="center"/>
          </w:tcPr>
          <w:p>
            <w:pPr>
              <w:spacing w:after="0"/>
            </w:pPr>
            <w:r>
              <w:rPr>
                <w:rFonts w:ascii="Aptos" w:hAnsi="Aptos"/>
                <w:b/>
                <w:color w:val="102A43"/>
                <w:sz w:val="17"/>
              </w:rPr>
              <w:t>Frontend tests</w:t>
            </w:r>
          </w:p>
        </w:tc>
        <w:tc>
          <w:tcPr>
            <w:tcW w:type="dxa" w:w="4650"/>
            <w:vAlign w:val="center"/>
          </w:tcPr>
          <w:p>
            <w:pPr>
              <w:spacing w:after="0"/>
            </w:pPr>
            <w:r>
              <w:rPr>
                <w:rFonts w:ascii="Aptos" w:hAnsi="Aptos"/>
                <w:b w:val="0"/>
                <w:color w:val="1F2933"/>
                <w:sz w:val="17"/>
              </w:rPr>
              <w:t>Add Playwright flows for login, billing, purchase, returns, stock, payroll and administration.</w:t>
            </w:r>
          </w:p>
        </w:tc>
        <w:tc>
          <w:tcPr>
            <w:tcW w:type="dxa" w:w="2460"/>
            <w:vAlign w:val="center"/>
          </w:tcPr>
          <w:p>
            <w:pPr>
              <w:spacing w:after="0"/>
            </w:pPr>
            <w:r>
              <w:rPr>
                <w:rFonts w:ascii="Aptos" w:hAnsi="Aptos"/>
                <w:b w:val="0"/>
                <w:color w:val="1F2933"/>
                <w:sz w:val="17"/>
              </w:rPr>
              <w:t>Critical user journeys pass in CI/local validation.</w:t>
            </w:r>
          </w:p>
        </w:tc>
      </w:tr>
      <w:tr>
        <w:tc>
          <w:tcPr>
            <w:tcW w:type="dxa" w:w="2250"/>
            <w:vAlign w:val="center"/>
          </w:tcPr>
          <w:p>
            <w:pPr>
              <w:spacing w:after="0"/>
            </w:pPr>
            <w:r>
              <w:rPr>
                <w:rFonts w:ascii="Aptos" w:hAnsi="Aptos"/>
                <w:b/>
                <w:color w:val="102A43"/>
                <w:sz w:val="17"/>
              </w:rPr>
              <w:t>Recovery tests</w:t>
            </w:r>
          </w:p>
        </w:tc>
        <w:tc>
          <w:tcPr>
            <w:tcW w:type="dxa" w:w="4650"/>
            <w:vAlign w:val="center"/>
          </w:tcPr>
          <w:p>
            <w:pPr>
              <w:spacing w:after="0"/>
            </w:pPr>
            <w:r>
              <w:rPr>
                <w:rFonts w:ascii="Aptos" w:hAnsi="Aptos"/>
                <w:b w:val="0"/>
                <w:color w:val="1F2933"/>
                <w:sz w:val="17"/>
              </w:rPr>
              <w:t>Restore a backup into a disposable database and verify manifests, checksums and key counts.</w:t>
            </w:r>
          </w:p>
        </w:tc>
        <w:tc>
          <w:tcPr>
            <w:tcW w:type="dxa" w:w="2460"/>
            <w:vAlign w:val="center"/>
          </w:tcPr>
          <w:p>
            <w:pPr>
              <w:spacing w:after="0"/>
            </w:pPr>
            <w:r>
              <w:rPr>
                <w:rFonts w:ascii="Aptos" w:hAnsi="Aptos"/>
                <w:b w:val="0"/>
                <w:color w:val="1F2933"/>
                <w:sz w:val="17"/>
              </w:rPr>
              <w:t>Recovery drill has recorded evidence.</w:t>
            </w:r>
          </w:p>
        </w:tc>
      </w:tr>
    </w:tbl>
    <w:p>
      <w:pPr>
        <w:spacing w:after="40"/>
      </w:pPr>
    </w:p>
    <w:tbl>
      <w:tblPr>
        <w:tblW w:type="dxa" w:w="9360"/>
        <w:jc w:val="center"/>
        <w:tblLayout w:type="fixed"/>
        <w:tblLook w:firstColumn="1" w:firstRow="1" w:lastColumn="0" w:lastRow="0" w:noHBand="0" w:noVBand="1" w:val="04A0"/>
      </w:tblPr>
      <w:tblGrid>
        <w:gridCol w:w="1750"/>
        <w:gridCol w:w="7610"/>
      </w:tblGrid>
      <w:tr>
        <w:tc>
          <w:tcPr>
            <w:tcW w:type="dxa" w:w="1750"/>
            <w:tcMar>
              <w:top w:w="90" w:type="dxa"/>
              <w:start w:w="120" w:type="dxa"/>
              <w:bottom w:w="90" w:type="dxa"/>
              <w:end w:w="120" w:type="dxa"/>
            </w:tcMar>
            <w:shd w:fill="00A6A6"/>
            <w:vAlign w:val="center"/>
          </w:tcPr>
          <w:p>
            <w:pPr>
              <w:spacing w:after="0"/>
              <w:jc w:val="center"/>
            </w:pPr>
            <w:r>
              <w:rPr>
                <w:rFonts w:ascii="Aptos" w:hAnsi="Aptos"/>
                <w:b/>
                <w:color w:val="FFFFFF"/>
                <w:sz w:val="30"/>
              </w:rPr>
              <w:t>8G</w:t>
            </w:r>
          </w:p>
        </w:tc>
        <w:tc>
          <w:tcPr>
            <w:tcW w:type="dxa" w:w="7610"/>
            <w:tcMar>
              <w:top w:w="90" w:type="dxa"/>
              <w:start w:w="120" w:type="dxa"/>
              <w:bottom w:w="90" w:type="dxa"/>
              <w:end w:w="120" w:type="dxa"/>
            </w:tcMar>
            <w:shd w:fill="102A43"/>
            <w:vAlign w:val="center"/>
          </w:tcPr>
          <w:p>
            <w:pPr>
              <w:spacing w:after="20"/>
            </w:pPr>
            <w:r>
              <w:rPr>
                <w:rFonts w:ascii="Aptos" w:hAnsi="Aptos"/>
                <w:b/>
                <w:color w:val="FFFFFF"/>
                <w:sz w:val="27"/>
              </w:rPr>
              <w:t>External Integration and Production Go-Live</w:t>
            </w:r>
          </w:p>
          <w:p>
            <w:pPr>
              <w:spacing w:after="0"/>
            </w:pPr>
            <w:r>
              <w:rPr>
                <w:rFonts w:ascii="Aptos" w:hAnsi="Aptos"/>
                <w:b w:val="0"/>
                <w:color w:val="D7E3EF"/>
                <w:sz w:val="17"/>
              </w:rPr>
              <w:t>Production release | Repository gap analysis</w:t>
            </w:r>
          </w:p>
        </w:tc>
      </w:tr>
    </w:tbl>
    <w:p>
      <w:pPr>
        <w:spacing w:after="20"/>
      </w:pP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Email</w:t>
            </w:r>
          </w:p>
        </w:tc>
        <w:tc>
          <w:tcPr>
            <w:tcW w:type="dxa" w:w="4650"/>
            <w:vAlign w:val="center"/>
          </w:tcPr>
          <w:p>
            <w:pPr>
              <w:spacing w:after="0"/>
            </w:pPr>
            <w:r>
              <w:rPr>
                <w:rFonts w:ascii="Aptos" w:hAnsi="Aptos"/>
                <w:b w:val="0"/>
                <w:color w:val="1F2933"/>
                <w:sz w:val="17"/>
              </w:rPr>
              <w:t>Validate SMTP reset and payslip delivery with production sender/domain.</w:t>
            </w:r>
          </w:p>
        </w:tc>
        <w:tc>
          <w:tcPr>
            <w:tcW w:type="dxa" w:w="2460"/>
            <w:vAlign w:val="center"/>
          </w:tcPr>
          <w:p>
            <w:pPr>
              <w:spacing w:after="0"/>
            </w:pPr>
            <w:r>
              <w:rPr>
                <w:rFonts w:ascii="Aptos" w:hAnsi="Aptos"/>
                <w:b w:val="0"/>
                <w:color w:val="1F2933"/>
                <w:sz w:val="17"/>
              </w:rPr>
              <w:t>Delivered messages and failures are logged.</w:t>
            </w:r>
          </w:p>
        </w:tc>
      </w:tr>
      <w:tr>
        <w:tc>
          <w:tcPr>
            <w:tcW w:type="dxa" w:w="2250"/>
            <w:vAlign w:val="center"/>
          </w:tcPr>
          <w:p>
            <w:pPr>
              <w:spacing w:after="0"/>
            </w:pPr>
            <w:r>
              <w:rPr>
                <w:rFonts w:ascii="Aptos" w:hAnsi="Aptos"/>
                <w:b/>
                <w:color w:val="102A43"/>
                <w:sz w:val="17"/>
              </w:rPr>
              <w:t>Google Drive</w:t>
            </w:r>
          </w:p>
        </w:tc>
        <w:tc>
          <w:tcPr>
            <w:tcW w:type="dxa" w:w="4650"/>
            <w:vAlign w:val="center"/>
          </w:tcPr>
          <w:p>
            <w:pPr>
              <w:spacing w:after="0"/>
            </w:pPr>
            <w:r>
              <w:rPr>
                <w:rFonts w:ascii="Aptos" w:hAnsi="Aptos"/>
                <w:b w:val="0"/>
                <w:color w:val="1F2933"/>
                <w:sz w:val="17"/>
              </w:rPr>
              <w:t>Validate service account, folder permissions, upload, download and restore.</w:t>
            </w:r>
          </w:p>
        </w:tc>
        <w:tc>
          <w:tcPr>
            <w:tcW w:type="dxa" w:w="2460"/>
            <w:vAlign w:val="center"/>
          </w:tcPr>
          <w:p>
            <w:pPr>
              <w:spacing w:after="0"/>
            </w:pPr>
            <w:r>
              <w:rPr>
                <w:rFonts w:ascii="Aptos" w:hAnsi="Aptos"/>
                <w:b w:val="0"/>
                <w:color w:val="1F2933"/>
                <w:sz w:val="17"/>
              </w:rPr>
              <w:t>Cloud backup and recovery drill passes.</w:t>
            </w:r>
          </w:p>
        </w:tc>
      </w:tr>
      <w:tr>
        <w:tc>
          <w:tcPr>
            <w:tcW w:type="dxa" w:w="2250"/>
            <w:vAlign w:val="center"/>
          </w:tcPr>
          <w:p>
            <w:pPr>
              <w:spacing w:after="0"/>
            </w:pPr>
            <w:r>
              <w:rPr>
                <w:rFonts w:ascii="Aptos" w:hAnsi="Aptos"/>
                <w:b/>
                <w:color w:val="102A43"/>
                <w:sz w:val="17"/>
              </w:rPr>
              <w:t>GST provider</w:t>
            </w:r>
          </w:p>
        </w:tc>
        <w:tc>
          <w:tcPr>
            <w:tcW w:type="dxa" w:w="4650"/>
            <w:vAlign w:val="center"/>
          </w:tcPr>
          <w:p>
            <w:pPr>
              <w:spacing w:after="0"/>
            </w:pPr>
            <w:r>
              <w:rPr>
                <w:rFonts w:ascii="Aptos" w:hAnsi="Aptos"/>
                <w:b w:val="0"/>
                <w:color w:val="1F2933"/>
                <w:sz w:val="17"/>
              </w:rPr>
              <w:t>Configure licensed GSTIN lookup credentials and validate production response mapping.</w:t>
            </w:r>
          </w:p>
        </w:tc>
        <w:tc>
          <w:tcPr>
            <w:tcW w:type="dxa" w:w="2460"/>
            <w:vAlign w:val="center"/>
          </w:tcPr>
          <w:p>
            <w:pPr>
              <w:spacing w:after="0"/>
            </w:pPr>
            <w:r>
              <w:rPr>
                <w:rFonts w:ascii="Aptos" w:hAnsi="Aptos"/>
                <w:b w:val="0"/>
                <w:color w:val="1F2933"/>
                <w:sz w:val="17"/>
              </w:rPr>
              <w:t>Verified party data and mismatch alerts work.</w:t>
            </w:r>
          </w:p>
        </w:tc>
      </w:tr>
      <w:tr>
        <w:tc>
          <w:tcPr>
            <w:tcW w:type="dxa" w:w="2250"/>
            <w:vAlign w:val="center"/>
          </w:tcPr>
          <w:p>
            <w:pPr>
              <w:spacing w:after="0"/>
            </w:pPr>
            <w:r>
              <w:rPr>
                <w:rFonts w:ascii="Aptos" w:hAnsi="Aptos"/>
                <w:b/>
                <w:color w:val="102A43"/>
                <w:sz w:val="17"/>
              </w:rPr>
              <w:t>Oracle Cloud</w:t>
            </w:r>
          </w:p>
        </w:tc>
        <w:tc>
          <w:tcPr>
            <w:tcW w:type="dxa" w:w="4650"/>
            <w:vAlign w:val="center"/>
          </w:tcPr>
          <w:p>
            <w:pPr>
              <w:spacing w:after="0"/>
            </w:pPr>
            <w:r>
              <w:rPr>
                <w:rFonts w:ascii="Aptos" w:hAnsi="Aptos"/>
                <w:b w:val="0"/>
                <w:color w:val="1F2933"/>
                <w:sz w:val="17"/>
              </w:rPr>
              <w:t>Validate wallet/TNS, push/pull, review/apply, dead letters and one real external app.</w:t>
            </w:r>
          </w:p>
        </w:tc>
        <w:tc>
          <w:tcPr>
            <w:tcW w:type="dxa" w:w="2460"/>
            <w:vAlign w:val="center"/>
          </w:tcPr>
          <w:p>
            <w:pPr>
              <w:spacing w:after="0"/>
            </w:pPr>
            <w:r>
              <w:rPr>
                <w:rFonts w:ascii="Aptos" w:hAnsi="Aptos"/>
                <w:b w:val="0"/>
                <w:color w:val="1F2933"/>
                <w:sz w:val="17"/>
              </w:rPr>
              <w:t>Ownership and final auto-apply policy are signed off.</w:t>
            </w:r>
          </w:p>
        </w:tc>
      </w:tr>
      <w:tr>
        <w:tc>
          <w:tcPr>
            <w:tcW w:type="dxa" w:w="2250"/>
            <w:vAlign w:val="center"/>
          </w:tcPr>
          <w:p>
            <w:pPr>
              <w:spacing w:after="0"/>
            </w:pPr>
            <w:r>
              <w:rPr>
                <w:rFonts w:ascii="Aptos" w:hAnsi="Aptos"/>
                <w:b/>
                <w:color w:val="102A43"/>
                <w:sz w:val="17"/>
              </w:rPr>
              <w:t>Clean installation</w:t>
            </w:r>
          </w:p>
        </w:tc>
        <w:tc>
          <w:tcPr>
            <w:tcW w:type="dxa" w:w="4650"/>
            <w:vAlign w:val="center"/>
          </w:tcPr>
          <w:p>
            <w:pPr>
              <w:spacing w:after="0"/>
            </w:pPr>
            <w:r>
              <w:rPr>
                <w:rFonts w:ascii="Aptos" w:hAnsi="Aptos"/>
                <w:b w:val="0"/>
                <w:color w:val="1F2933"/>
                <w:sz w:val="17"/>
              </w:rPr>
              <w:t>Run fresh Docker installation, migrations, onboarding, seed and first login.</w:t>
            </w:r>
          </w:p>
        </w:tc>
        <w:tc>
          <w:tcPr>
            <w:tcW w:type="dxa" w:w="2460"/>
            <w:vAlign w:val="center"/>
          </w:tcPr>
          <w:p>
            <w:pPr>
              <w:spacing w:after="0"/>
            </w:pPr>
            <w:r>
              <w:rPr>
                <w:rFonts w:ascii="Aptos" w:hAnsi="Aptos"/>
                <w:b w:val="0"/>
                <w:color w:val="1F2933"/>
                <w:sz w:val="17"/>
              </w:rPr>
              <w:t>New installation reaches healthy operational state.</w:t>
            </w:r>
          </w:p>
        </w:tc>
      </w:tr>
      <w:tr>
        <w:tc>
          <w:tcPr>
            <w:tcW w:type="dxa" w:w="2250"/>
            <w:vAlign w:val="center"/>
          </w:tcPr>
          <w:p>
            <w:pPr>
              <w:spacing w:after="0"/>
            </w:pPr>
            <w:r>
              <w:rPr>
                <w:rFonts w:ascii="Aptos" w:hAnsi="Aptos"/>
                <w:b/>
                <w:color w:val="102A43"/>
                <w:sz w:val="17"/>
              </w:rPr>
              <w:t>Production security</w:t>
            </w:r>
          </w:p>
        </w:tc>
        <w:tc>
          <w:tcPr>
            <w:tcW w:type="dxa" w:w="4650"/>
            <w:vAlign w:val="center"/>
          </w:tcPr>
          <w:p>
            <w:pPr>
              <w:spacing w:after="0"/>
            </w:pPr>
            <w:r>
              <w:rPr>
                <w:rFonts w:ascii="Aptos" w:hAnsi="Aptos"/>
                <w:b w:val="0"/>
                <w:color w:val="1F2933"/>
                <w:sz w:val="17"/>
              </w:rPr>
              <w:t>Configure HTTPS, secrets, CORS, retention, scheduled backups and log rotation.</w:t>
            </w:r>
          </w:p>
        </w:tc>
        <w:tc>
          <w:tcPr>
            <w:tcW w:type="dxa" w:w="2460"/>
            <w:vAlign w:val="center"/>
          </w:tcPr>
          <w:p>
            <w:pPr>
              <w:spacing w:after="0"/>
            </w:pPr>
            <w:r>
              <w:rPr>
                <w:rFonts w:ascii="Aptos" w:hAnsi="Aptos"/>
                <w:b w:val="0"/>
                <w:color w:val="1F2933"/>
                <w:sz w:val="17"/>
              </w:rPr>
              <w:t>Preflight reports no critical production issue.</w:t>
            </w:r>
          </w:p>
        </w:tc>
      </w:tr>
      <w:tr>
        <w:tc>
          <w:tcPr>
            <w:tcW w:type="dxa" w:w="2250"/>
            <w:vAlign w:val="center"/>
          </w:tcPr>
          <w:p>
            <w:pPr>
              <w:spacing w:after="0"/>
            </w:pPr>
            <w:r>
              <w:rPr>
                <w:rFonts w:ascii="Aptos" w:hAnsi="Aptos"/>
                <w:b/>
                <w:color w:val="102A43"/>
                <w:sz w:val="17"/>
              </w:rPr>
              <w:t>Acceptance</w:t>
            </w:r>
          </w:p>
        </w:tc>
        <w:tc>
          <w:tcPr>
            <w:tcW w:type="dxa" w:w="4650"/>
            <w:vAlign w:val="center"/>
          </w:tcPr>
          <w:p>
            <w:pPr>
              <w:spacing w:after="0"/>
            </w:pPr>
            <w:r>
              <w:rPr>
                <w:rFonts w:ascii="Aptos" w:hAnsi="Aptos"/>
                <w:b w:val="0"/>
                <w:color w:val="1F2933"/>
                <w:sz w:val="17"/>
              </w:rPr>
              <w:t>Run role matrix, module smoke tests, reports, printing, backup/restore and accounting reconciliation.</w:t>
            </w:r>
          </w:p>
        </w:tc>
        <w:tc>
          <w:tcPr>
            <w:tcW w:type="dxa" w:w="2460"/>
            <w:vAlign w:val="center"/>
          </w:tcPr>
          <w:p>
            <w:pPr>
              <w:spacing w:after="0"/>
            </w:pPr>
            <w:r>
              <w:rPr>
                <w:rFonts w:ascii="Aptos" w:hAnsi="Aptos"/>
                <w:b w:val="0"/>
                <w:color w:val="1F2933"/>
                <w:sz w:val="17"/>
              </w:rPr>
              <w:t>Production release checklist is approved.</w:t>
            </w:r>
          </w:p>
        </w:tc>
      </w:tr>
    </w:tbl>
    <w:p>
      <w:pPr>
        <w:spacing w:after="40"/>
      </w:pPr>
    </w:p>
    <w:p>
      <w:r>
        <w:br w:type="page"/>
      </w:r>
    </w:p>
    <w:p>
      <w:pPr>
        <w:pStyle w:val="Heading1"/>
        <w:spacing w:before="0" w:after="120" w:line="278" w:lineRule="auto"/>
      </w:pPr>
      <w:r>
        <w:rPr>
          <w:rFonts w:ascii="Aptos" w:hAnsi="Aptos"/>
          <w:b w:val="0"/>
          <w:color w:val="1F2933"/>
          <w:sz w:val="21"/>
        </w:rPr>
        <w:t>2. Delivery Sequence and Governance</w:t>
      </w:r>
    </w:p>
    <w:tbl>
      <w:tblPr>
        <w:tblStyle w:val="TableGrid"/>
        <w:tblW w:type="dxa" w:w="9360"/>
        <w:jc w:val="center"/>
        <w:tblLayout w:type="fixed"/>
        <w:tblLook w:firstColumn="1" w:firstRow="1" w:lastColumn="0" w:lastRow="0" w:noHBand="0" w:noVBand="1" w:val="04A0"/>
      </w:tblPr>
      <w:tblGrid>
        <w:gridCol w:w="1050"/>
        <w:gridCol w:w="1650"/>
        <w:gridCol w:w="2500"/>
        <w:gridCol w:w="2310"/>
        <w:gridCol w:w="1850"/>
      </w:tblGrid>
      <w:tr>
        <w:trPr>
          <w:tblHeader w:val="true"/>
        </w:trPr>
        <w:tc>
          <w:tcPr>
            <w:tcW w:type="dxa" w:w="1050"/>
            <w:tcMar>
              <w:top w:w="90" w:type="dxa"/>
              <w:start w:w="120" w:type="dxa"/>
              <w:bottom w:w="90" w:type="dxa"/>
              <w:end w:w="120" w:type="dxa"/>
            </w:tcMar>
            <w:shd w:fill="102A43"/>
          </w:tcPr>
          <w:p>
            <w:pPr>
              <w:spacing w:after="0"/>
            </w:pPr>
            <w:r>
              <w:rPr>
                <w:rFonts w:ascii="Aptos" w:hAnsi="Aptos"/>
                <w:b/>
                <w:color w:val="FFFFFF"/>
                <w:sz w:val="17"/>
              </w:rPr>
              <w:t>Order</w:t>
            </w:r>
          </w:p>
        </w:tc>
        <w:tc>
          <w:tcPr>
            <w:tcW w:type="dxa" w:w="1650"/>
            <w:tcMar>
              <w:top w:w="90" w:type="dxa"/>
              <w:start w:w="120" w:type="dxa"/>
              <w:bottom w:w="90" w:type="dxa"/>
              <w:end w:w="120" w:type="dxa"/>
            </w:tcMar>
            <w:shd w:fill="102A43"/>
          </w:tcPr>
          <w:p>
            <w:pPr>
              <w:spacing w:after="0"/>
            </w:pPr>
            <w:r>
              <w:rPr>
                <w:rFonts w:ascii="Aptos" w:hAnsi="Aptos"/>
                <w:b/>
                <w:color w:val="FFFFFF"/>
                <w:sz w:val="17"/>
              </w:rPr>
              <w:t>Package</w:t>
            </w:r>
          </w:p>
        </w:tc>
        <w:tc>
          <w:tcPr>
            <w:tcW w:type="dxa" w:w="2500"/>
            <w:tcMar>
              <w:top w:w="90" w:type="dxa"/>
              <w:start w:w="120" w:type="dxa"/>
              <w:bottom w:w="90" w:type="dxa"/>
              <w:end w:w="120" w:type="dxa"/>
            </w:tcMar>
            <w:shd w:fill="102A43"/>
          </w:tcPr>
          <w:p>
            <w:pPr>
              <w:spacing w:after="0"/>
            </w:pPr>
            <w:r>
              <w:rPr>
                <w:rFonts w:ascii="Aptos" w:hAnsi="Aptos"/>
                <w:b/>
                <w:color w:val="FFFFFF"/>
                <w:sz w:val="17"/>
              </w:rPr>
              <w:t>Depends on</w:t>
            </w:r>
          </w:p>
        </w:tc>
        <w:tc>
          <w:tcPr>
            <w:tcW w:type="dxa" w:w="2310"/>
            <w:tcMar>
              <w:top w:w="90" w:type="dxa"/>
              <w:start w:w="120" w:type="dxa"/>
              <w:bottom w:w="90" w:type="dxa"/>
              <w:end w:w="120" w:type="dxa"/>
            </w:tcMar>
            <w:shd w:fill="102A43"/>
          </w:tcPr>
          <w:p>
            <w:pPr>
              <w:spacing w:after="0"/>
            </w:pPr>
            <w:r>
              <w:rPr>
                <w:rFonts w:ascii="Aptos" w:hAnsi="Aptos"/>
                <w:b/>
                <w:color w:val="FFFFFF"/>
                <w:sz w:val="17"/>
              </w:rPr>
              <w:t>Primary verification</w:t>
            </w:r>
          </w:p>
        </w:tc>
        <w:tc>
          <w:tcPr>
            <w:tcW w:type="dxa" w:w="1850"/>
            <w:tcMar>
              <w:top w:w="90" w:type="dxa"/>
              <w:start w:w="120" w:type="dxa"/>
              <w:bottom w:w="90" w:type="dxa"/>
              <w:end w:w="120" w:type="dxa"/>
            </w:tcMar>
            <w:shd w:fill="102A43"/>
          </w:tcPr>
          <w:p>
            <w:pPr>
              <w:spacing w:after="0"/>
            </w:pPr>
            <w:r>
              <w:rPr>
                <w:rFonts w:ascii="Aptos" w:hAnsi="Aptos"/>
                <w:b/>
                <w:color w:val="FFFFFF"/>
                <w:sz w:val="17"/>
              </w:rPr>
              <w:t>Decision gate</w:t>
            </w:r>
          </w:p>
        </w:tc>
      </w:tr>
      <w:tr>
        <w:tc>
          <w:tcPr>
            <w:tcW w:type="dxa" w:w="1050"/>
            <w:shd w:fill="DFF7F6"/>
          </w:tcPr>
          <w:p>
            <w:pPr>
              <w:spacing w:after="0"/>
            </w:pPr>
            <w:r>
              <w:rPr>
                <w:rFonts w:ascii="Aptos" w:hAnsi="Aptos"/>
                <w:b/>
                <w:color w:val="102A43"/>
                <w:sz w:val="16"/>
              </w:rPr>
              <w:t>1</w:t>
            </w:r>
          </w:p>
        </w:tc>
        <w:tc>
          <w:tcPr>
            <w:tcW w:type="dxa" w:w="1650"/>
          </w:tcPr>
          <w:p>
            <w:pPr>
              <w:spacing w:after="0"/>
            </w:pPr>
            <w:r>
              <w:rPr>
                <w:rFonts w:ascii="Aptos" w:hAnsi="Aptos"/>
                <w:b w:val="0"/>
                <w:color w:val="1F2933"/>
                <w:sz w:val="16"/>
              </w:rPr>
              <w:t>P0</w:t>
            </w:r>
          </w:p>
        </w:tc>
        <w:tc>
          <w:tcPr>
            <w:tcW w:type="dxa" w:w="2500"/>
          </w:tcPr>
          <w:p>
            <w:pPr>
              <w:spacing w:after="0"/>
            </w:pPr>
            <w:r>
              <w:rPr>
                <w:rFonts w:ascii="Aptos" w:hAnsi="Aptos"/>
                <w:b w:val="0"/>
                <w:color w:val="1F2933"/>
                <w:sz w:val="16"/>
              </w:rPr>
              <w:t>Stage 7M baseline</w:t>
            </w:r>
          </w:p>
        </w:tc>
        <w:tc>
          <w:tcPr>
            <w:tcW w:type="dxa" w:w="2310"/>
          </w:tcPr>
          <w:p>
            <w:pPr>
              <w:spacing w:after="0"/>
            </w:pPr>
            <w:r>
              <w:rPr>
                <w:rFonts w:ascii="Aptos" w:hAnsi="Aptos"/>
                <w:b w:val="0"/>
                <w:color w:val="1F2933"/>
                <w:sz w:val="16"/>
              </w:rPr>
              <w:t>Build + authenticated API smoke</w:t>
            </w:r>
          </w:p>
        </w:tc>
        <w:tc>
          <w:tcPr>
            <w:tcW w:type="dxa" w:w="1850"/>
          </w:tcPr>
          <w:p>
            <w:pPr>
              <w:spacing w:after="0"/>
            </w:pPr>
            <w:r>
              <w:rPr>
                <w:rFonts w:ascii="Aptos" w:hAnsi="Aptos"/>
                <w:b w:val="0"/>
                <w:color w:val="1F2933"/>
                <w:sz w:val="16"/>
              </w:rPr>
              <w:t>Baseline accepted</w:t>
            </w:r>
          </w:p>
        </w:tc>
      </w:tr>
      <w:tr>
        <w:tc>
          <w:tcPr>
            <w:tcW w:type="dxa" w:w="1050"/>
            <w:shd w:fill="DFF7F6"/>
          </w:tcPr>
          <w:p>
            <w:pPr>
              <w:spacing w:after="0"/>
            </w:pPr>
            <w:r>
              <w:rPr>
                <w:rFonts w:ascii="Aptos" w:hAnsi="Aptos"/>
                <w:b/>
                <w:color w:val="102A43"/>
                <w:sz w:val="16"/>
              </w:rPr>
              <w:t>2</w:t>
            </w:r>
          </w:p>
        </w:tc>
        <w:tc>
          <w:tcPr>
            <w:tcW w:type="dxa" w:w="1650"/>
          </w:tcPr>
          <w:p>
            <w:pPr>
              <w:spacing w:after="0"/>
            </w:pPr>
            <w:r>
              <w:rPr>
                <w:rFonts w:ascii="Aptos" w:hAnsi="Aptos"/>
                <w:b w:val="0"/>
                <w:color w:val="1F2933"/>
                <w:sz w:val="16"/>
              </w:rPr>
              <w:t>8A</w:t>
            </w:r>
          </w:p>
        </w:tc>
        <w:tc>
          <w:tcPr>
            <w:tcW w:type="dxa" w:w="2500"/>
          </w:tcPr>
          <w:p>
            <w:pPr>
              <w:spacing w:after="0"/>
            </w:pPr>
            <w:r>
              <w:rPr>
                <w:rFonts w:ascii="Aptos" w:hAnsi="Aptos"/>
                <w:b w:val="0"/>
                <w:color w:val="1F2933"/>
                <w:sz w:val="16"/>
              </w:rPr>
              <w:t>P0</w:t>
            </w:r>
          </w:p>
        </w:tc>
        <w:tc>
          <w:tcPr>
            <w:tcW w:type="dxa" w:w="2310"/>
          </w:tcPr>
          <w:p>
            <w:pPr>
              <w:spacing w:after="0"/>
            </w:pPr>
            <w:r>
              <w:rPr>
                <w:rFonts w:ascii="Aptos" w:hAnsi="Aptos"/>
                <w:b w:val="0"/>
                <w:color w:val="1F2933"/>
                <w:sz w:val="16"/>
              </w:rPr>
              <w:t>Visual audit + responsive screenshots</w:t>
            </w:r>
          </w:p>
        </w:tc>
        <w:tc>
          <w:tcPr>
            <w:tcW w:type="dxa" w:w="1850"/>
          </w:tcPr>
          <w:p>
            <w:pPr>
              <w:spacing w:after="0"/>
            </w:pPr>
            <w:r>
              <w:rPr>
                <w:rFonts w:ascii="Aptos" w:hAnsi="Aptos"/>
                <w:b w:val="0"/>
                <w:color w:val="1F2933"/>
                <w:sz w:val="16"/>
              </w:rPr>
              <w:t>v4.0 UI accepted</w:t>
            </w:r>
          </w:p>
        </w:tc>
      </w:tr>
      <w:tr>
        <w:tc>
          <w:tcPr>
            <w:tcW w:type="dxa" w:w="1050"/>
            <w:shd w:fill="DFF7F6"/>
          </w:tcPr>
          <w:p>
            <w:pPr>
              <w:spacing w:after="0"/>
            </w:pPr>
            <w:r>
              <w:rPr>
                <w:rFonts w:ascii="Aptos" w:hAnsi="Aptos"/>
                <w:b/>
                <w:color w:val="102A43"/>
                <w:sz w:val="16"/>
              </w:rPr>
              <w:t>3</w:t>
            </w:r>
          </w:p>
        </w:tc>
        <w:tc>
          <w:tcPr>
            <w:tcW w:type="dxa" w:w="1650"/>
          </w:tcPr>
          <w:p>
            <w:pPr>
              <w:spacing w:after="0"/>
            </w:pPr>
            <w:r>
              <w:rPr>
                <w:rFonts w:ascii="Aptos" w:hAnsi="Aptos"/>
                <w:b w:val="0"/>
                <w:color w:val="1F2933"/>
                <w:sz w:val="16"/>
              </w:rPr>
              <w:t>8B</w:t>
            </w:r>
          </w:p>
        </w:tc>
        <w:tc>
          <w:tcPr>
            <w:tcW w:type="dxa" w:w="2500"/>
          </w:tcPr>
          <w:p>
            <w:pPr>
              <w:spacing w:after="0"/>
            </w:pPr>
            <w:r>
              <w:rPr>
                <w:rFonts w:ascii="Aptos" w:hAnsi="Aptos"/>
                <w:b w:val="0"/>
                <w:color w:val="1F2933"/>
                <w:sz w:val="16"/>
              </w:rPr>
              <w:t>8A patterns</w:t>
            </w:r>
          </w:p>
        </w:tc>
        <w:tc>
          <w:tcPr>
            <w:tcW w:type="dxa" w:w="2310"/>
          </w:tcPr>
          <w:p>
            <w:pPr>
              <w:spacing w:after="0"/>
            </w:pPr>
            <w:r>
              <w:rPr>
                <w:rFonts w:ascii="Aptos" w:hAnsi="Aptos"/>
                <w:b w:val="0"/>
                <w:color w:val="1F2933"/>
                <w:sz w:val="16"/>
              </w:rPr>
              <w:t>Role and permission matrix</w:t>
            </w:r>
          </w:p>
        </w:tc>
        <w:tc>
          <w:tcPr>
            <w:tcW w:type="dxa" w:w="1850"/>
          </w:tcPr>
          <w:p>
            <w:pPr>
              <w:spacing w:after="0"/>
            </w:pPr>
            <w:r>
              <w:rPr>
                <w:rFonts w:ascii="Aptos" w:hAnsi="Aptos"/>
                <w:b w:val="0"/>
                <w:color w:val="1F2933"/>
                <w:sz w:val="16"/>
              </w:rPr>
              <w:t>v4.1 access accepted</w:t>
            </w:r>
          </w:p>
        </w:tc>
      </w:tr>
      <w:tr>
        <w:tc>
          <w:tcPr>
            <w:tcW w:type="dxa" w:w="1050"/>
            <w:shd w:fill="DFF7F6"/>
          </w:tcPr>
          <w:p>
            <w:pPr>
              <w:spacing w:after="0"/>
            </w:pPr>
            <w:r>
              <w:rPr>
                <w:rFonts w:ascii="Aptos" w:hAnsi="Aptos"/>
                <w:b/>
                <w:color w:val="102A43"/>
                <w:sz w:val="16"/>
              </w:rPr>
              <w:t>4</w:t>
            </w:r>
          </w:p>
        </w:tc>
        <w:tc>
          <w:tcPr>
            <w:tcW w:type="dxa" w:w="1650"/>
          </w:tcPr>
          <w:p>
            <w:pPr>
              <w:spacing w:after="0"/>
            </w:pPr>
            <w:r>
              <w:rPr>
                <w:rFonts w:ascii="Aptos" w:hAnsi="Aptos"/>
                <w:b w:val="0"/>
                <w:color w:val="1F2933"/>
                <w:sz w:val="16"/>
              </w:rPr>
              <w:t>8C</w:t>
            </w:r>
          </w:p>
        </w:tc>
        <w:tc>
          <w:tcPr>
            <w:tcW w:type="dxa" w:w="2500"/>
          </w:tcPr>
          <w:p>
            <w:pPr>
              <w:spacing w:after="0"/>
            </w:pPr>
            <w:r>
              <w:rPr>
                <w:rFonts w:ascii="Aptos" w:hAnsi="Aptos"/>
                <w:b w:val="0"/>
                <w:color w:val="1F2933"/>
                <w:sz w:val="16"/>
              </w:rPr>
              <w:t>P0 accounting/stock</w:t>
            </w:r>
          </w:p>
        </w:tc>
        <w:tc>
          <w:tcPr>
            <w:tcW w:type="dxa" w:w="2310"/>
          </w:tcPr>
          <w:p>
            <w:pPr>
              <w:spacing w:after="0"/>
            </w:pPr>
            <w:r>
              <w:rPr>
                <w:rFonts w:ascii="Aptos" w:hAnsi="Aptos"/>
                <w:b w:val="0"/>
                <w:color w:val="1F2933"/>
                <w:sz w:val="16"/>
              </w:rPr>
              <w:t>Return, GST and vendor reconciliation</w:t>
            </w:r>
          </w:p>
        </w:tc>
        <w:tc>
          <w:tcPr>
            <w:tcW w:type="dxa" w:w="1850"/>
          </w:tcPr>
          <w:p>
            <w:pPr>
              <w:spacing w:after="0"/>
            </w:pPr>
            <w:r>
              <w:rPr>
                <w:rFonts w:ascii="Aptos" w:hAnsi="Aptos"/>
                <w:b w:val="0"/>
                <w:color w:val="1F2933"/>
                <w:sz w:val="16"/>
              </w:rPr>
              <w:t>Return lifecycle accepted</w:t>
            </w:r>
          </w:p>
        </w:tc>
      </w:tr>
      <w:tr>
        <w:tc>
          <w:tcPr>
            <w:tcW w:type="dxa" w:w="1050"/>
            <w:shd w:fill="DFF7F6"/>
          </w:tcPr>
          <w:p>
            <w:pPr>
              <w:spacing w:after="0"/>
            </w:pPr>
            <w:r>
              <w:rPr>
                <w:rFonts w:ascii="Aptos" w:hAnsi="Aptos"/>
                <w:b/>
                <w:color w:val="102A43"/>
                <w:sz w:val="16"/>
              </w:rPr>
              <w:t>5</w:t>
            </w:r>
          </w:p>
        </w:tc>
        <w:tc>
          <w:tcPr>
            <w:tcW w:type="dxa" w:w="1650"/>
          </w:tcPr>
          <w:p>
            <w:pPr>
              <w:spacing w:after="0"/>
            </w:pPr>
            <w:r>
              <w:rPr>
                <w:rFonts w:ascii="Aptos" w:hAnsi="Aptos"/>
                <w:b w:val="0"/>
                <w:color w:val="1F2933"/>
                <w:sz w:val="16"/>
              </w:rPr>
              <w:t>8D</w:t>
            </w:r>
          </w:p>
        </w:tc>
        <w:tc>
          <w:tcPr>
            <w:tcW w:type="dxa" w:w="2500"/>
          </w:tcPr>
          <w:p>
            <w:pPr>
              <w:spacing w:after="0"/>
            </w:pPr>
            <w:r>
              <w:rPr>
                <w:rFonts w:ascii="Aptos" w:hAnsi="Aptos"/>
                <w:b w:val="0"/>
                <w:color w:val="1F2933"/>
                <w:sz w:val="16"/>
              </w:rPr>
              <w:t>8C movement rules</w:t>
            </w:r>
          </w:p>
        </w:tc>
        <w:tc>
          <w:tcPr>
            <w:tcW w:type="dxa" w:w="2310"/>
          </w:tcPr>
          <w:p>
            <w:pPr>
              <w:spacing w:after="0"/>
            </w:pPr>
            <w:r>
              <w:rPr>
                <w:rFonts w:ascii="Aptos" w:hAnsi="Aptos"/>
                <w:b w:val="0"/>
                <w:color w:val="1F2933"/>
                <w:sz w:val="16"/>
              </w:rPr>
              <w:t>Stock and valuation reconciliation</w:t>
            </w:r>
          </w:p>
        </w:tc>
        <w:tc>
          <w:tcPr>
            <w:tcW w:type="dxa" w:w="1850"/>
          </w:tcPr>
          <w:p>
            <w:pPr>
              <w:spacing w:after="0"/>
            </w:pPr>
            <w:r>
              <w:rPr>
                <w:rFonts w:ascii="Aptos" w:hAnsi="Aptos"/>
                <w:b w:val="0"/>
                <w:color w:val="1F2933"/>
                <w:sz w:val="16"/>
              </w:rPr>
              <w:t>Inventory authority accepted</w:t>
            </w:r>
          </w:p>
        </w:tc>
      </w:tr>
      <w:tr>
        <w:tc>
          <w:tcPr>
            <w:tcW w:type="dxa" w:w="1050"/>
            <w:shd w:fill="DFF7F6"/>
          </w:tcPr>
          <w:p>
            <w:pPr>
              <w:spacing w:after="0"/>
            </w:pPr>
            <w:r>
              <w:rPr>
                <w:rFonts w:ascii="Aptos" w:hAnsi="Aptos"/>
                <w:b/>
                <w:color w:val="102A43"/>
                <w:sz w:val="16"/>
              </w:rPr>
              <w:t>6</w:t>
            </w:r>
          </w:p>
        </w:tc>
        <w:tc>
          <w:tcPr>
            <w:tcW w:type="dxa" w:w="1650"/>
          </w:tcPr>
          <w:p>
            <w:pPr>
              <w:spacing w:after="0"/>
            </w:pPr>
            <w:r>
              <w:rPr>
                <w:rFonts w:ascii="Aptos" w:hAnsi="Aptos"/>
                <w:b w:val="0"/>
                <w:color w:val="1F2933"/>
                <w:sz w:val="16"/>
              </w:rPr>
              <w:t>8E</w:t>
            </w:r>
          </w:p>
        </w:tc>
        <w:tc>
          <w:tcPr>
            <w:tcW w:type="dxa" w:w="2500"/>
          </w:tcPr>
          <w:p>
            <w:pPr>
              <w:spacing w:after="0"/>
            </w:pPr>
            <w:r>
              <w:rPr>
                <w:rFonts w:ascii="Aptos" w:hAnsi="Aptos"/>
                <w:b w:val="0"/>
                <w:color w:val="1F2933"/>
                <w:sz w:val="16"/>
              </w:rPr>
              <w:t>8C/8D postings</w:t>
            </w:r>
          </w:p>
        </w:tc>
        <w:tc>
          <w:tcPr>
            <w:tcW w:type="dxa" w:w="2310"/>
          </w:tcPr>
          <w:p>
            <w:pPr>
              <w:spacing w:after="0"/>
            </w:pPr>
            <w:r>
              <w:rPr>
                <w:rFonts w:ascii="Aptos" w:hAnsi="Aptos"/>
                <w:b w:val="0"/>
                <w:color w:val="1F2933"/>
                <w:sz w:val="16"/>
              </w:rPr>
              <w:t>Journal, payment and banking reconciliation</w:t>
            </w:r>
          </w:p>
        </w:tc>
        <w:tc>
          <w:tcPr>
            <w:tcW w:type="dxa" w:w="1850"/>
          </w:tcPr>
          <w:p>
            <w:pPr>
              <w:spacing w:after="0"/>
            </w:pPr>
            <w:r>
              <w:rPr>
                <w:rFonts w:ascii="Aptos" w:hAnsi="Aptos"/>
                <w:b w:val="0"/>
                <w:color w:val="1F2933"/>
                <w:sz w:val="16"/>
              </w:rPr>
              <w:t>Financial controls accepted</w:t>
            </w:r>
          </w:p>
        </w:tc>
      </w:tr>
      <w:tr>
        <w:tc>
          <w:tcPr>
            <w:tcW w:type="dxa" w:w="1050"/>
            <w:shd w:fill="DFF7F6"/>
          </w:tcPr>
          <w:p>
            <w:pPr>
              <w:spacing w:after="0"/>
            </w:pPr>
            <w:r>
              <w:rPr>
                <w:rFonts w:ascii="Aptos" w:hAnsi="Aptos"/>
                <w:b/>
                <w:color w:val="102A43"/>
                <w:sz w:val="16"/>
              </w:rPr>
              <w:t>7</w:t>
            </w:r>
          </w:p>
        </w:tc>
        <w:tc>
          <w:tcPr>
            <w:tcW w:type="dxa" w:w="1650"/>
          </w:tcPr>
          <w:p>
            <w:pPr>
              <w:spacing w:after="0"/>
            </w:pPr>
            <w:r>
              <w:rPr>
                <w:rFonts w:ascii="Aptos" w:hAnsi="Aptos"/>
                <w:b w:val="0"/>
                <w:color w:val="1F2933"/>
                <w:sz w:val="16"/>
              </w:rPr>
              <w:t>8F</w:t>
            </w:r>
          </w:p>
        </w:tc>
        <w:tc>
          <w:tcPr>
            <w:tcW w:type="dxa" w:w="2500"/>
          </w:tcPr>
          <w:p>
            <w:pPr>
              <w:spacing w:after="0"/>
            </w:pPr>
            <w:r>
              <w:rPr>
                <w:rFonts w:ascii="Aptos" w:hAnsi="Aptos"/>
                <w:b w:val="0"/>
                <w:color w:val="1F2933"/>
                <w:sz w:val="16"/>
              </w:rPr>
              <w:t>Stable business rules</w:t>
            </w:r>
          </w:p>
        </w:tc>
        <w:tc>
          <w:tcPr>
            <w:tcW w:type="dxa" w:w="2310"/>
          </w:tcPr>
          <w:p>
            <w:pPr>
              <w:spacing w:after="0"/>
            </w:pPr>
            <w:r>
              <w:rPr>
                <w:rFonts w:ascii="Aptos" w:hAnsi="Aptos"/>
                <w:b w:val="0"/>
                <w:color w:val="1F2933"/>
                <w:sz w:val="16"/>
              </w:rPr>
              <w:t>Automated suites + restore drill</w:t>
            </w:r>
          </w:p>
        </w:tc>
        <w:tc>
          <w:tcPr>
            <w:tcW w:type="dxa" w:w="1850"/>
          </w:tcPr>
          <w:p>
            <w:pPr>
              <w:spacing w:after="0"/>
            </w:pPr>
            <w:r>
              <w:rPr>
                <w:rFonts w:ascii="Aptos" w:hAnsi="Aptos"/>
                <w:b w:val="0"/>
                <w:color w:val="1F2933"/>
                <w:sz w:val="16"/>
              </w:rPr>
              <w:t>Release candidate accepted</w:t>
            </w:r>
          </w:p>
        </w:tc>
      </w:tr>
      <w:tr>
        <w:tc>
          <w:tcPr>
            <w:tcW w:type="dxa" w:w="1050"/>
            <w:shd w:fill="DFF7F6"/>
          </w:tcPr>
          <w:p>
            <w:pPr>
              <w:spacing w:after="0"/>
            </w:pPr>
            <w:r>
              <w:rPr>
                <w:rFonts w:ascii="Aptos" w:hAnsi="Aptos"/>
                <w:b/>
                <w:color w:val="102A43"/>
                <w:sz w:val="16"/>
              </w:rPr>
              <w:t>8</w:t>
            </w:r>
          </w:p>
        </w:tc>
        <w:tc>
          <w:tcPr>
            <w:tcW w:type="dxa" w:w="1650"/>
          </w:tcPr>
          <w:p>
            <w:pPr>
              <w:spacing w:after="0"/>
            </w:pPr>
            <w:r>
              <w:rPr>
                <w:rFonts w:ascii="Aptos" w:hAnsi="Aptos"/>
                <w:b w:val="0"/>
                <w:color w:val="1F2933"/>
                <w:sz w:val="16"/>
              </w:rPr>
              <w:t>8G</w:t>
            </w:r>
          </w:p>
        </w:tc>
        <w:tc>
          <w:tcPr>
            <w:tcW w:type="dxa" w:w="2500"/>
          </w:tcPr>
          <w:p>
            <w:pPr>
              <w:spacing w:after="0"/>
            </w:pPr>
            <w:r>
              <w:rPr>
                <w:rFonts w:ascii="Aptos" w:hAnsi="Aptos"/>
                <w:b w:val="0"/>
                <w:color w:val="1F2933"/>
                <w:sz w:val="16"/>
              </w:rPr>
              <w:t>All prior stages</w:t>
            </w:r>
          </w:p>
        </w:tc>
        <w:tc>
          <w:tcPr>
            <w:tcW w:type="dxa" w:w="2310"/>
          </w:tcPr>
          <w:p>
            <w:pPr>
              <w:spacing w:after="0"/>
            </w:pPr>
            <w:r>
              <w:rPr>
                <w:rFonts w:ascii="Aptos" w:hAnsi="Aptos"/>
                <w:b w:val="0"/>
                <w:color w:val="1F2933"/>
                <w:sz w:val="16"/>
              </w:rPr>
              <w:t>Real integrations + go-live checklist</w:t>
            </w:r>
          </w:p>
        </w:tc>
        <w:tc>
          <w:tcPr>
            <w:tcW w:type="dxa" w:w="1850"/>
          </w:tcPr>
          <w:p>
            <w:pPr>
              <w:spacing w:after="0"/>
            </w:pPr>
            <w:r>
              <w:rPr>
                <w:rFonts w:ascii="Aptos" w:hAnsi="Aptos"/>
                <w:b w:val="0"/>
                <w:color w:val="1F2933"/>
                <w:sz w:val="16"/>
              </w:rPr>
              <w:t>Production approved</w:t>
            </w:r>
          </w:p>
        </w:tc>
      </w:tr>
    </w:tbl>
    <w:p>
      <w:pPr>
        <w:pStyle w:val="Heading2"/>
        <w:spacing w:before="0" w:after="120" w:line="278" w:lineRule="auto"/>
      </w:pPr>
      <w:r>
        <w:rPr>
          <w:rFonts w:ascii="Aptos" w:hAnsi="Aptos"/>
          <w:b w:val="0"/>
          <w:color w:val="1F2933"/>
          <w:sz w:val="21"/>
        </w:rPr>
        <w:t>Stage note discipline</w:t>
      </w:r>
    </w:p>
    <w:p>
      <w:pPr>
        <w:spacing w:before="0" w:after="120" w:line="278" w:lineRule="auto"/>
      </w:pPr>
      <w:r>
        <w:rPr>
          <w:rFonts w:ascii="Aptos" w:hAnsi="Aptos"/>
          <w:b w:val="0"/>
          <w:color w:val="1F2933"/>
          <w:sz w:val="21"/>
        </w:rPr>
        <w:t>Each implementation package will add its plan to docs/planning, its durable technical notes to docs/modules, and its release notes plus validation evidence to the matching docs/stages folder. Issues discovered during development will be recorded in docs/planning/ISSUES.md before being marked fixed.</w:t>
      </w:r>
    </w:p>
    <w:p>
      <w:pPr>
        <w:pStyle w:val="Heading2"/>
        <w:spacing w:before="0" w:after="120" w:line="278" w:lineRule="auto"/>
      </w:pPr>
      <w:r>
        <w:rPr>
          <w:rFonts w:ascii="Aptos" w:hAnsi="Aptos"/>
          <w:b w:val="0"/>
          <w:color w:val="1F2933"/>
          <w:sz w:val="21"/>
        </w:rPr>
        <w:t>Definition of done</w:t>
      </w:r>
    </w:p>
    <w:tbl>
      <w:tblPr>
        <w:tblStyle w:val="TableGrid"/>
        <w:tblW w:type="dxa" w:w="9360"/>
        <w:jc w:val="center"/>
        <w:tblLayout w:type="fixed"/>
        <w:tblLook w:firstColumn="1" w:firstRow="1" w:lastColumn="0" w:lastRow="0" w:noHBand="0" w:noVBand="1" w:val="04A0"/>
      </w:tblPr>
      <w:tblGrid>
        <w:gridCol w:w="2250"/>
        <w:gridCol w:w="4650"/>
        <w:gridCol w:w="2460"/>
      </w:tblGrid>
      <w:tr>
        <w:trPr>
          <w:tblHeader w:val="true"/>
        </w:trPr>
        <w:tc>
          <w:tcPr>
            <w:tcW w:type="dxa" w:w="2250"/>
            <w:tcMar>
              <w:top w:w="90" w:type="dxa"/>
              <w:start w:w="120" w:type="dxa"/>
              <w:bottom w:w="90" w:type="dxa"/>
              <w:end w:w="120" w:type="dxa"/>
            </w:tcMar>
            <w:shd w:fill="E8EEF5"/>
            <w:vAlign w:val="center"/>
          </w:tcPr>
          <w:p>
            <w:pPr>
              <w:spacing w:after="0"/>
              <w:jc w:val="left"/>
            </w:pPr>
            <w:r>
              <w:rPr>
                <w:rFonts w:ascii="Aptos" w:hAnsi="Aptos"/>
                <w:b/>
                <w:color w:val="102A43"/>
                <w:sz w:val="18"/>
              </w:rPr>
              <w:t>Workstream</w:t>
            </w:r>
          </w:p>
        </w:tc>
        <w:tc>
          <w:tcPr>
            <w:tcW w:type="dxa" w:w="4650"/>
            <w:tcMar>
              <w:top w:w="90" w:type="dxa"/>
              <w:start w:w="120" w:type="dxa"/>
              <w:bottom w:w="90" w:type="dxa"/>
              <w:end w:w="120" w:type="dxa"/>
            </w:tcMar>
            <w:shd w:fill="E8EEF5"/>
            <w:vAlign w:val="center"/>
          </w:tcPr>
          <w:p>
            <w:pPr>
              <w:spacing w:after="0"/>
              <w:jc w:val="left"/>
            </w:pPr>
            <w:r>
              <w:rPr>
                <w:rFonts w:ascii="Aptos" w:hAnsi="Aptos"/>
                <w:b/>
                <w:color w:val="102A43"/>
                <w:sz w:val="18"/>
              </w:rPr>
              <w:t>Implementation details</w:t>
            </w:r>
          </w:p>
        </w:tc>
        <w:tc>
          <w:tcPr>
            <w:tcW w:type="dxa" w:w="2460"/>
            <w:tcMar>
              <w:top w:w="90" w:type="dxa"/>
              <w:start w:w="120" w:type="dxa"/>
              <w:bottom w:w="90" w:type="dxa"/>
              <w:end w:w="120" w:type="dxa"/>
            </w:tcMar>
            <w:shd w:fill="E8EEF5"/>
            <w:vAlign w:val="center"/>
          </w:tcPr>
          <w:p>
            <w:pPr>
              <w:spacing w:after="0"/>
              <w:jc w:val="left"/>
            </w:pPr>
            <w:r>
              <w:rPr>
                <w:rFonts w:ascii="Aptos" w:hAnsi="Aptos"/>
                <w:b/>
                <w:color w:val="102A43"/>
                <w:sz w:val="18"/>
              </w:rPr>
              <w:t>Completion evidence</w:t>
            </w:r>
          </w:p>
        </w:tc>
      </w:tr>
      <w:tr>
        <w:tc>
          <w:tcPr>
            <w:tcW w:type="dxa" w:w="2250"/>
            <w:vAlign w:val="center"/>
          </w:tcPr>
          <w:p>
            <w:pPr>
              <w:spacing w:after="0"/>
            </w:pPr>
            <w:r>
              <w:rPr>
                <w:rFonts w:ascii="Aptos" w:hAnsi="Aptos"/>
                <w:b/>
                <w:color w:val="102A43"/>
                <w:sz w:val="17"/>
              </w:rPr>
              <w:t>Code</w:t>
            </w:r>
          </w:p>
        </w:tc>
        <w:tc>
          <w:tcPr>
            <w:tcW w:type="dxa" w:w="4650"/>
            <w:vAlign w:val="center"/>
          </w:tcPr>
          <w:p>
            <w:pPr>
              <w:spacing w:after="0"/>
            </w:pPr>
            <w:r>
              <w:rPr>
                <w:rFonts w:ascii="Aptos" w:hAnsi="Aptos"/>
                <w:b w:val="0"/>
                <w:color w:val="1F2933"/>
                <w:sz w:val="17"/>
              </w:rPr>
              <w:t>Backend, frontend, migrations and configuration are complete and scoped to the stage.</w:t>
            </w:r>
          </w:p>
        </w:tc>
        <w:tc>
          <w:tcPr>
            <w:tcW w:type="dxa" w:w="2460"/>
            <w:vAlign w:val="center"/>
          </w:tcPr>
          <w:p>
            <w:pPr>
              <w:spacing w:after="0"/>
            </w:pPr>
            <w:r>
              <w:rPr>
                <w:rFonts w:ascii="Aptos" w:hAnsi="Aptos"/>
                <w:b w:val="0"/>
                <w:color w:val="1F2933"/>
                <w:sz w:val="17"/>
              </w:rPr>
              <w:t>Peer-readable diff and no unrelated refactor.</w:t>
            </w:r>
          </w:p>
        </w:tc>
      </w:tr>
      <w:tr>
        <w:tc>
          <w:tcPr>
            <w:tcW w:type="dxa" w:w="2250"/>
            <w:vAlign w:val="center"/>
          </w:tcPr>
          <w:p>
            <w:pPr>
              <w:spacing w:after="0"/>
            </w:pPr>
            <w:r>
              <w:rPr>
                <w:rFonts w:ascii="Aptos" w:hAnsi="Aptos"/>
                <w:b/>
                <w:color w:val="102A43"/>
                <w:sz w:val="17"/>
              </w:rPr>
              <w:t>Build</w:t>
            </w:r>
          </w:p>
        </w:tc>
        <w:tc>
          <w:tcPr>
            <w:tcW w:type="dxa" w:w="4650"/>
            <w:vAlign w:val="center"/>
          </w:tcPr>
          <w:p>
            <w:pPr>
              <w:spacing w:after="0"/>
            </w:pPr>
            <w:r>
              <w:rPr>
                <w:rFonts w:ascii="Aptos" w:hAnsi="Aptos"/>
                <w:b w:val="0"/>
                <w:color w:val="1F2933"/>
                <w:sz w:val="17"/>
              </w:rPr>
              <w:t>Release backend and production Nuxt builds complete.</w:t>
            </w:r>
          </w:p>
        </w:tc>
        <w:tc>
          <w:tcPr>
            <w:tcW w:type="dxa" w:w="2460"/>
            <w:vAlign w:val="center"/>
          </w:tcPr>
          <w:p>
            <w:pPr>
              <w:spacing w:after="0"/>
            </w:pPr>
            <w:r>
              <w:rPr>
                <w:rFonts w:ascii="Aptos" w:hAnsi="Aptos"/>
                <w:b w:val="0"/>
                <w:color w:val="1F2933"/>
                <w:sz w:val="17"/>
              </w:rPr>
              <w:t>Build log recorded.</w:t>
            </w:r>
          </w:p>
        </w:tc>
      </w:tr>
      <w:tr>
        <w:tc>
          <w:tcPr>
            <w:tcW w:type="dxa" w:w="2250"/>
            <w:vAlign w:val="center"/>
          </w:tcPr>
          <w:p>
            <w:pPr>
              <w:spacing w:after="0"/>
            </w:pPr>
            <w:r>
              <w:rPr>
                <w:rFonts w:ascii="Aptos" w:hAnsi="Aptos"/>
                <w:b/>
                <w:color w:val="102A43"/>
                <w:sz w:val="17"/>
              </w:rPr>
              <w:t>Runtime</w:t>
            </w:r>
          </w:p>
        </w:tc>
        <w:tc>
          <w:tcPr>
            <w:tcW w:type="dxa" w:w="4650"/>
            <w:vAlign w:val="center"/>
          </w:tcPr>
          <w:p>
            <w:pPr>
              <w:spacing w:after="0"/>
            </w:pPr>
            <w:r>
              <w:rPr>
                <w:rFonts w:ascii="Aptos" w:hAnsi="Aptos"/>
                <w:b w:val="0"/>
                <w:color w:val="1F2933"/>
                <w:sz w:val="17"/>
              </w:rPr>
              <w:t>Docker services are healthy and the changed workflow is exercised.</w:t>
            </w:r>
          </w:p>
        </w:tc>
        <w:tc>
          <w:tcPr>
            <w:tcW w:type="dxa" w:w="2460"/>
            <w:vAlign w:val="center"/>
          </w:tcPr>
          <w:p>
            <w:pPr>
              <w:spacing w:after="0"/>
            </w:pPr>
            <w:r>
              <w:rPr>
                <w:rFonts w:ascii="Aptos" w:hAnsi="Aptos"/>
                <w:b w:val="0"/>
                <w:color w:val="1F2933"/>
                <w:sz w:val="17"/>
              </w:rPr>
              <w:t>Smoke evidence recorded.</w:t>
            </w:r>
          </w:p>
        </w:tc>
      </w:tr>
      <w:tr>
        <w:tc>
          <w:tcPr>
            <w:tcW w:type="dxa" w:w="2250"/>
            <w:vAlign w:val="center"/>
          </w:tcPr>
          <w:p>
            <w:pPr>
              <w:spacing w:after="0"/>
            </w:pPr>
            <w:r>
              <w:rPr>
                <w:rFonts w:ascii="Aptos" w:hAnsi="Aptos"/>
                <w:b/>
                <w:color w:val="102A43"/>
                <w:sz w:val="17"/>
              </w:rPr>
              <w:t>Data</w:t>
            </w:r>
          </w:p>
        </w:tc>
        <w:tc>
          <w:tcPr>
            <w:tcW w:type="dxa" w:w="4650"/>
            <w:vAlign w:val="center"/>
          </w:tcPr>
          <w:p>
            <w:pPr>
              <w:spacing w:after="0"/>
            </w:pPr>
            <w:r>
              <w:rPr>
                <w:rFonts w:ascii="Aptos" w:hAnsi="Aptos"/>
                <w:b w:val="0"/>
                <w:color w:val="1F2933"/>
                <w:sz w:val="17"/>
              </w:rPr>
              <w:t>Migrations and older-volume repair paths are validated where applicable.</w:t>
            </w:r>
          </w:p>
        </w:tc>
        <w:tc>
          <w:tcPr>
            <w:tcW w:type="dxa" w:w="2460"/>
            <w:vAlign w:val="center"/>
          </w:tcPr>
          <w:p>
            <w:pPr>
              <w:spacing w:after="0"/>
            </w:pPr>
            <w:r>
              <w:rPr>
                <w:rFonts w:ascii="Aptos" w:hAnsi="Aptos"/>
                <w:b w:val="0"/>
                <w:color w:val="1F2933"/>
                <w:sz w:val="17"/>
              </w:rPr>
              <w:t>Fresh and upgrade paths pass.</w:t>
            </w:r>
          </w:p>
        </w:tc>
      </w:tr>
      <w:tr>
        <w:tc>
          <w:tcPr>
            <w:tcW w:type="dxa" w:w="2250"/>
            <w:vAlign w:val="center"/>
          </w:tcPr>
          <w:p>
            <w:pPr>
              <w:spacing w:after="0"/>
            </w:pPr>
            <w:r>
              <w:rPr>
                <w:rFonts w:ascii="Aptos" w:hAnsi="Aptos"/>
                <w:b/>
                <w:color w:val="102A43"/>
                <w:sz w:val="17"/>
              </w:rPr>
              <w:t>Security</w:t>
            </w:r>
          </w:p>
        </w:tc>
        <w:tc>
          <w:tcPr>
            <w:tcW w:type="dxa" w:w="4650"/>
            <w:vAlign w:val="center"/>
          </w:tcPr>
          <w:p>
            <w:pPr>
              <w:spacing w:after="0"/>
            </w:pPr>
            <w:r>
              <w:rPr>
                <w:rFonts w:ascii="Aptos" w:hAnsi="Aptos"/>
                <w:b w:val="0"/>
                <w:color w:val="1F2933"/>
                <w:sz w:val="17"/>
              </w:rPr>
              <w:t>Role, scope and action permissions are checked.</w:t>
            </w:r>
          </w:p>
        </w:tc>
        <w:tc>
          <w:tcPr>
            <w:tcW w:type="dxa" w:w="2460"/>
            <w:vAlign w:val="center"/>
          </w:tcPr>
          <w:p>
            <w:pPr>
              <w:spacing w:after="0"/>
            </w:pPr>
            <w:r>
              <w:rPr>
                <w:rFonts w:ascii="Aptos" w:hAnsi="Aptos"/>
                <w:b w:val="0"/>
                <w:color w:val="1F2933"/>
                <w:sz w:val="17"/>
              </w:rPr>
              <w:t>Unauthorized API and route attempts fail.</w:t>
            </w:r>
          </w:p>
        </w:tc>
      </w:tr>
      <w:tr>
        <w:tc>
          <w:tcPr>
            <w:tcW w:type="dxa" w:w="2250"/>
            <w:vAlign w:val="center"/>
          </w:tcPr>
          <w:p>
            <w:pPr>
              <w:spacing w:after="0"/>
            </w:pPr>
            <w:r>
              <w:rPr>
                <w:rFonts w:ascii="Aptos" w:hAnsi="Aptos"/>
                <w:b/>
                <w:color w:val="102A43"/>
                <w:sz w:val="17"/>
              </w:rPr>
              <w:t>Business</w:t>
            </w:r>
          </w:p>
        </w:tc>
        <w:tc>
          <w:tcPr>
            <w:tcW w:type="dxa" w:w="4650"/>
            <w:vAlign w:val="center"/>
          </w:tcPr>
          <w:p>
            <w:pPr>
              <w:spacing w:after="0"/>
            </w:pPr>
            <w:r>
              <w:rPr>
                <w:rFonts w:ascii="Aptos" w:hAnsi="Aptos"/>
                <w:b w:val="0"/>
                <w:color w:val="1F2933"/>
                <w:sz w:val="17"/>
              </w:rPr>
              <w:t>Stock, GST, payroll or accounting effects reconcile as applicable.</w:t>
            </w:r>
          </w:p>
        </w:tc>
        <w:tc>
          <w:tcPr>
            <w:tcW w:type="dxa" w:w="2460"/>
            <w:vAlign w:val="center"/>
          </w:tcPr>
          <w:p>
            <w:pPr>
              <w:spacing w:after="0"/>
            </w:pPr>
            <w:r>
              <w:rPr>
                <w:rFonts w:ascii="Aptos" w:hAnsi="Aptos"/>
                <w:b w:val="0"/>
                <w:color w:val="1F2933"/>
                <w:sz w:val="17"/>
              </w:rPr>
              <w:t>Expected totals and ledger links match.</w:t>
            </w:r>
          </w:p>
        </w:tc>
      </w:tr>
      <w:tr>
        <w:tc>
          <w:tcPr>
            <w:tcW w:type="dxa" w:w="2250"/>
            <w:vAlign w:val="center"/>
          </w:tcPr>
          <w:p>
            <w:pPr>
              <w:spacing w:after="0"/>
            </w:pPr>
            <w:r>
              <w:rPr>
                <w:rFonts w:ascii="Aptos" w:hAnsi="Aptos"/>
                <w:b/>
                <w:color w:val="102A43"/>
                <w:sz w:val="17"/>
              </w:rPr>
              <w:t>UX</w:t>
            </w:r>
          </w:p>
        </w:tc>
        <w:tc>
          <w:tcPr>
            <w:tcW w:type="dxa" w:w="4650"/>
            <w:vAlign w:val="center"/>
          </w:tcPr>
          <w:p>
            <w:pPr>
              <w:spacing w:after="0"/>
            </w:pPr>
            <w:r>
              <w:rPr>
                <w:rFonts w:ascii="Aptos" w:hAnsi="Aptos"/>
                <w:b w:val="0"/>
                <w:color w:val="1F2933"/>
                <w:sz w:val="17"/>
              </w:rPr>
              <w:t>Desktop and mobile layouts are visually inspected.</w:t>
            </w:r>
          </w:p>
        </w:tc>
        <w:tc>
          <w:tcPr>
            <w:tcW w:type="dxa" w:w="2460"/>
            <w:vAlign w:val="center"/>
          </w:tcPr>
          <w:p>
            <w:pPr>
              <w:spacing w:after="0"/>
            </w:pPr>
            <w:r>
              <w:rPr>
                <w:rFonts w:ascii="Aptos" w:hAnsi="Aptos"/>
                <w:b w:val="0"/>
                <w:color w:val="1F2933"/>
                <w:sz w:val="17"/>
              </w:rPr>
              <w:t>No overlap, clipping or unusable form.</w:t>
            </w:r>
          </w:p>
        </w:tc>
      </w:tr>
      <w:tr>
        <w:tc>
          <w:tcPr>
            <w:tcW w:type="dxa" w:w="2250"/>
            <w:vAlign w:val="center"/>
          </w:tcPr>
          <w:p>
            <w:pPr>
              <w:spacing w:after="0"/>
            </w:pPr>
            <w:r>
              <w:rPr>
                <w:rFonts w:ascii="Aptos" w:hAnsi="Aptos"/>
                <w:b/>
                <w:color w:val="102A43"/>
                <w:sz w:val="17"/>
              </w:rPr>
              <w:t>Documentation</w:t>
            </w:r>
          </w:p>
        </w:tc>
        <w:tc>
          <w:tcPr>
            <w:tcW w:type="dxa" w:w="4650"/>
            <w:vAlign w:val="center"/>
          </w:tcPr>
          <w:p>
            <w:pPr>
              <w:spacing w:after="0"/>
            </w:pPr>
            <w:r>
              <w:rPr>
                <w:rFonts w:ascii="Aptos" w:hAnsi="Aptos"/>
                <w:b w:val="0"/>
                <w:color w:val="1F2933"/>
                <w:sz w:val="17"/>
              </w:rPr>
              <w:t>Roadmap, TODO, issue register, stage notes and validation log are updated.</w:t>
            </w:r>
          </w:p>
        </w:tc>
        <w:tc>
          <w:tcPr>
            <w:tcW w:type="dxa" w:w="2460"/>
            <w:vAlign w:val="center"/>
          </w:tcPr>
          <w:p>
            <w:pPr>
              <w:spacing w:after="0"/>
            </w:pPr>
            <w:r>
              <w:rPr>
                <w:rFonts w:ascii="Aptos" w:hAnsi="Aptos"/>
                <w:b w:val="0"/>
                <w:color w:val="1F2933"/>
                <w:sz w:val="17"/>
              </w:rPr>
              <w:t>Canonical docs remain current.</w:t>
            </w:r>
          </w:p>
        </w:tc>
      </w:tr>
    </w:tbl>
    <w:p>
      <w:pPr>
        <w:spacing w:after="40"/>
      </w:pPr>
    </w:p>
    <w:p>
      <w:r>
        <w:br w:type="page"/>
      </w:r>
    </w:p>
    <w:p>
      <w:pPr>
        <w:pStyle w:val="Heading1"/>
        <w:spacing w:before="0" w:after="120" w:line="278" w:lineRule="auto"/>
      </w:pPr>
      <w:r>
        <w:rPr>
          <w:rFonts w:ascii="Aptos" w:hAnsi="Aptos"/>
          <w:b w:val="0"/>
          <w:color w:val="1F2933"/>
          <w:sz w:val="21"/>
        </w:rPr>
        <w:t>3. Principal Risks and Controls</w:t>
      </w:r>
    </w:p>
    <w:tbl>
      <w:tblPr>
        <w:tblStyle w:val="TableGrid"/>
        <w:tblW w:type="dxa" w:w="9360"/>
        <w:jc w:val="center"/>
        <w:tblLayout w:type="fixed"/>
        <w:tblLook w:firstColumn="1" w:firstRow="1" w:lastColumn="0" w:lastRow="0" w:noHBand="0" w:noVBand="1" w:val="04A0"/>
      </w:tblPr>
      <w:tblGrid>
        <w:gridCol w:w="2700"/>
        <w:gridCol w:w="3300"/>
        <w:gridCol w:w="3360"/>
      </w:tblGrid>
      <w:tr>
        <w:trPr>
          <w:tblHeader w:val="true"/>
        </w:trPr>
        <w:tc>
          <w:tcPr>
            <w:tcW w:type="dxa" w:w="2700"/>
            <w:tcMar>
              <w:top w:w="90" w:type="dxa"/>
              <w:start w:w="120" w:type="dxa"/>
              <w:bottom w:w="90" w:type="dxa"/>
              <w:end w:w="120" w:type="dxa"/>
            </w:tcMar>
            <w:shd w:fill="102A43"/>
          </w:tcPr>
          <w:p>
            <w:pPr>
              <w:spacing w:after="0"/>
            </w:pPr>
            <w:r>
              <w:rPr>
                <w:rFonts w:ascii="Aptos" w:hAnsi="Aptos"/>
                <w:b/>
                <w:color w:val="FFFFFF"/>
                <w:sz w:val="18"/>
              </w:rPr>
              <w:t>Risk</w:t>
            </w:r>
          </w:p>
        </w:tc>
        <w:tc>
          <w:tcPr>
            <w:tcW w:type="dxa" w:w="3300"/>
            <w:tcMar>
              <w:top w:w="90" w:type="dxa"/>
              <w:start w:w="120" w:type="dxa"/>
              <w:bottom w:w="90" w:type="dxa"/>
              <w:end w:w="120" w:type="dxa"/>
            </w:tcMar>
            <w:shd w:fill="102A43"/>
          </w:tcPr>
          <w:p>
            <w:pPr>
              <w:spacing w:after="0"/>
            </w:pPr>
            <w:r>
              <w:rPr>
                <w:rFonts w:ascii="Aptos" w:hAnsi="Aptos"/>
                <w:b/>
                <w:color w:val="FFFFFF"/>
                <w:sz w:val="18"/>
              </w:rPr>
              <w:t>Impact</w:t>
            </w:r>
          </w:p>
        </w:tc>
        <w:tc>
          <w:tcPr>
            <w:tcW w:type="dxa" w:w="3360"/>
            <w:tcMar>
              <w:top w:w="90" w:type="dxa"/>
              <w:start w:w="120" w:type="dxa"/>
              <w:bottom w:w="90" w:type="dxa"/>
              <w:end w:w="120" w:type="dxa"/>
            </w:tcMar>
            <w:shd w:fill="102A43"/>
          </w:tcPr>
          <w:p>
            <w:pPr>
              <w:spacing w:after="0"/>
            </w:pPr>
            <w:r>
              <w:rPr>
                <w:rFonts w:ascii="Aptos" w:hAnsi="Aptos"/>
                <w:b/>
                <w:color w:val="FFFFFF"/>
                <w:sz w:val="18"/>
              </w:rPr>
              <w:t>Control</w:t>
            </w:r>
          </w:p>
        </w:tc>
      </w:tr>
      <w:tr>
        <w:tc>
          <w:tcPr>
            <w:tcW w:type="dxa" w:w="2700"/>
          </w:tcPr>
          <w:p>
            <w:pPr>
              <w:spacing w:after="0"/>
            </w:pPr>
            <w:r>
              <w:rPr>
                <w:rFonts w:ascii="Aptos" w:hAnsi="Aptos"/>
                <w:b/>
                <w:color w:val="A61B1B"/>
                <w:sz w:val="16"/>
              </w:rPr>
              <w:t>UI migration causes workflow regression</w:t>
            </w:r>
          </w:p>
        </w:tc>
        <w:tc>
          <w:tcPr>
            <w:tcW w:type="dxa" w:w="3300"/>
          </w:tcPr>
          <w:p>
            <w:pPr>
              <w:spacing w:after="0"/>
            </w:pPr>
            <w:r>
              <w:rPr>
                <w:rFonts w:ascii="Aptos" w:hAnsi="Aptos"/>
                <w:b w:val="0"/>
                <w:color w:val="1F2933"/>
                <w:sz w:val="16"/>
              </w:rPr>
              <w:t>Daily billing or purchase work slows or breaks</w:t>
            </w:r>
          </w:p>
        </w:tc>
        <w:tc>
          <w:tcPr>
            <w:tcW w:type="dxa" w:w="3360"/>
          </w:tcPr>
          <w:p>
            <w:pPr>
              <w:spacing w:after="0"/>
            </w:pPr>
            <w:r>
              <w:rPr>
                <w:rFonts w:ascii="Aptos" w:hAnsi="Aptos"/>
                <w:b w:val="0"/>
                <w:color w:val="1F2933"/>
                <w:sz w:val="16"/>
              </w:rPr>
              <w:t>Module-by-module rollout, existing routes preserved, legacy shell retained until acceptance</w:t>
            </w:r>
          </w:p>
        </w:tc>
      </w:tr>
      <w:tr>
        <w:tc>
          <w:tcPr>
            <w:tcW w:type="dxa" w:w="2700"/>
          </w:tcPr>
          <w:p>
            <w:pPr>
              <w:spacing w:after="0"/>
            </w:pPr>
            <w:r>
              <w:rPr>
                <w:rFonts w:ascii="Aptos" w:hAnsi="Aptos"/>
                <w:b/>
                <w:color w:val="A61B1B"/>
                <w:sz w:val="16"/>
              </w:rPr>
              <w:t>Return documents diverge from stock/GST/accounting</w:t>
            </w:r>
          </w:p>
        </w:tc>
        <w:tc>
          <w:tcPr>
            <w:tcW w:type="dxa" w:w="3300"/>
          </w:tcPr>
          <w:p>
            <w:pPr>
              <w:spacing w:after="0"/>
            </w:pPr>
            <w:r>
              <w:rPr>
                <w:rFonts w:ascii="Aptos" w:hAnsi="Aptos"/>
                <w:b w:val="0"/>
                <w:color w:val="1F2933"/>
                <w:sz w:val="16"/>
              </w:rPr>
              <w:t>Incorrect vendor balance or tax reporting</w:t>
            </w:r>
          </w:p>
        </w:tc>
        <w:tc>
          <w:tcPr>
            <w:tcW w:type="dxa" w:w="3360"/>
          </w:tcPr>
          <w:p>
            <w:pPr>
              <w:spacing w:after="0"/>
            </w:pPr>
            <w:r>
              <w:rPr>
                <w:rFonts w:ascii="Aptos" w:hAnsi="Aptos"/>
                <w:b w:val="0"/>
                <w:color w:val="1F2933"/>
                <w:sz w:val="16"/>
              </w:rPr>
              <w:t>Single transactional posting service plus reconciliation tests</w:t>
            </w:r>
          </w:p>
        </w:tc>
      </w:tr>
      <w:tr>
        <w:tc>
          <w:tcPr>
            <w:tcW w:type="dxa" w:w="2700"/>
          </w:tcPr>
          <w:p>
            <w:pPr>
              <w:spacing w:after="0"/>
            </w:pPr>
            <w:r>
              <w:rPr>
                <w:rFonts w:ascii="Aptos" w:hAnsi="Aptos"/>
                <w:b/>
                <w:color w:val="A61B1B"/>
                <w:sz w:val="16"/>
              </w:rPr>
              <w:t>Movement-ledger migration changes displayed stock</w:t>
            </w:r>
          </w:p>
        </w:tc>
        <w:tc>
          <w:tcPr>
            <w:tcW w:type="dxa" w:w="3300"/>
          </w:tcPr>
          <w:p>
            <w:pPr>
              <w:spacing w:after="0"/>
            </w:pPr>
            <w:r>
              <w:rPr>
                <w:rFonts w:ascii="Aptos" w:hAnsi="Aptos"/>
                <w:b w:val="0"/>
                <w:color w:val="1F2933"/>
                <w:sz w:val="16"/>
              </w:rPr>
              <w:t>Unexpected stock variance</w:t>
            </w:r>
          </w:p>
        </w:tc>
        <w:tc>
          <w:tcPr>
            <w:tcW w:type="dxa" w:w="3360"/>
          </w:tcPr>
          <w:p>
            <w:pPr>
              <w:spacing w:after="0"/>
            </w:pPr>
            <w:r>
              <w:rPr>
                <w:rFonts w:ascii="Aptos" w:hAnsi="Aptos"/>
                <w:b w:val="0"/>
                <w:color w:val="1F2933"/>
                <w:sz w:val="16"/>
              </w:rPr>
              <w:t>Pre-migration comparison report and controlled repair path</w:t>
            </w:r>
          </w:p>
        </w:tc>
      </w:tr>
      <w:tr>
        <w:tc>
          <w:tcPr>
            <w:tcW w:type="dxa" w:w="2700"/>
          </w:tcPr>
          <w:p>
            <w:pPr>
              <w:spacing w:after="0"/>
            </w:pPr>
            <w:r>
              <w:rPr>
                <w:rFonts w:ascii="Aptos" w:hAnsi="Aptos"/>
                <w:b/>
                <w:color w:val="A61B1B"/>
                <w:sz w:val="16"/>
              </w:rPr>
              <w:t>Permission mismatch between client and API</w:t>
            </w:r>
          </w:p>
        </w:tc>
        <w:tc>
          <w:tcPr>
            <w:tcW w:type="dxa" w:w="3300"/>
          </w:tcPr>
          <w:p>
            <w:pPr>
              <w:spacing w:after="0"/>
            </w:pPr>
            <w:r>
              <w:rPr>
                <w:rFonts w:ascii="Aptos" w:hAnsi="Aptos"/>
                <w:b w:val="0"/>
                <w:color w:val="1F2933"/>
                <w:sz w:val="16"/>
              </w:rPr>
              <w:t>Unauthorized access or false denial</w:t>
            </w:r>
          </w:p>
        </w:tc>
        <w:tc>
          <w:tcPr>
            <w:tcW w:type="dxa" w:w="3360"/>
          </w:tcPr>
          <w:p>
            <w:pPr>
              <w:spacing w:after="0"/>
            </w:pPr>
            <w:r>
              <w:rPr>
                <w:rFonts w:ascii="Aptos" w:hAnsi="Aptos"/>
                <w:b w:val="0"/>
                <w:color w:val="1F2933"/>
                <w:sz w:val="16"/>
              </w:rPr>
              <w:t>Server-first policies plus automated role matrix</w:t>
            </w:r>
          </w:p>
        </w:tc>
      </w:tr>
      <w:tr>
        <w:tc>
          <w:tcPr>
            <w:tcW w:type="dxa" w:w="2700"/>
          </w:tcPr>
          <w:p>
            <w:pPr>
              <w:spacing w:after="0"/>
            </w:pPr>
            <w:r>
              <w:rPr>
                <w:rFonts w:ascii="Aptos" w:hAnsi="Aptos"/>
                <w:b/>
                <w:color w:val="A61B1B"/>
                <w:sz w:val="16"/>
              </w:rPr>
              <w:t>External integration credentials are unavailable</w:t>
            </w:r>
          </w:p>
        </w:tc>
        <w:tc>
          <w:tcPr>
            <w:tcW w:type="dxa" w:w="3300"/>
          </w:tcPr>
          <w:p>
            <w:pPr>
              <w:spacing w:after="0"/>
            </w:pPr>
            <w:r>
              <w:rPr>
                <w:rFonts w:ascii="Aptos" w:hAnsi="Aptos"/>
                <w:b w:val="0"/>
                <w:color w:val="1F2933"/>
                <w:sz w:val="16"/>
              </w:rPr>
              <w:t>Stage cannot be production-validated</w:t>
            </w:r>
          </w:p>
        </w:tc>
        <w:tc>
          <w:tcPr>
            <w:tcW w:type="dxa" w:w="3360"/>
          </w:tcPr>
          <w:p>
            <w:pPr>
              <w:spacing w:after="0"/>
            </w:pPr>
            <w:r>
              <w:rPr>
                <w:rFonts w:ascii="Aptos" w:hAnsi="Aptos"/>
                <w:b w:val="0"/>
                <w:color w:val="1F2933"/>
                <w:sz w:val="16"/>
              </w:rPr>
              <w:t>Keep provider adapters configurable and mark credential-bound gates explicitly</w:t>
            </w:r>
          </w:p>
        </w:tc>
      </w:tr>
      <w:tr>
        <w:tc>
          <w:tcPr>
            <w:tcW w:type="dxa" w:w="2700"/>
          </w:tcPr>
          <w:p>
            <w:pPr>
              <w:spacing w:after="0"/>
            </w:pPr>
            <w:r>
              <w:rPr>
                <w:rFonts w:ascii="Aptos" w:hAnsi="Aptos"/>
                <w:b/>
                <w:color w:val="A61B1B"/>
                <w:sz w:val="16"/>
              </w:rPr>
              <w:t>Automated tests arrive too late</w:t>
            </w:r>
          </w:p>
        </w:tc>
        <w:tc>
          <w:tcPr>
            <w:tcW w:type="dxa" w:w="3300"/>
          </w:tcPr>
          <w:p>
            <w:pPr>
              <w:spacing w:after="0"/>
            </w:pPr>
            <w:r>
              <w:rPr>
                <w:rFonts w:ascii="Aptos" w:hAnsi="Aptos"/>
                <w:b w:val="0"/>
                <w:color w:val="1F2933"/>
                <w:sz w:val="16"/>
              </w:rPr>
              <w:t>Hardening changes create regressions</w:t>
            </w:r>
          </w:p>
        </w:tc>
        <w:tc>
          <w:tcPr>
            <w:tcW w:type="dxa" w:w="3360"/>
          </w:tcPr>
          <w:p>
            <w:pPr>
              <w:spacing w:after="0"/>
            </w:pPr>
            <w:r>
              <w:rPr>
                <w:rFonts w:ascii="Aptos" w:hAnsi="Aptos"/>
                <w:b w:val="0"/>
                <w:color w:val="1F2933"/>
                <w:sz w:val="16"/>
              </w:rPr>
              <w:t>Add tests alongside each Stage 8C-E business rule, then consolidate in 8F</w:t>
            </w:r>
          </w:p>
        </w:tc>
      </w:tr>
    </w:tbl>
    <w:p>
      <w:pPr>
        <w:pStyle w:val="Heading1"/>
        <w:spacing w:before="0" w:after="120" w:line="278" w:lineRule="auto"/>
      </w:pPr>
      <w:r>
        <w:rPr>
          <w:rFonts w:ascii="Aptos" w:hAnsi="Aptos"/>
          <w:b w:val="0"/>
          <w:color w:val="1F2933"/>
          <w:sz w:val="21"/>
        </w:rPr>
        <w:t>Source and provenance</w:t>
      </w:r>
    </w:p>
    <w:p>
      <w:pPr>
        <w:spacing w:before="0" w:after="120" w:line="278" w:lineRule="auto"/>
      </w:pPr>
      <w:r>
        <w:rPr>
          <w:rFonts w:ascii="Aptos" w:hAnsi="Aptos"/>
          <w:b w:val="0"/>
          <w:color w:val="1F2933"/>
          <w:sz w:val="21"/>
        </w:rPr>
        <w:t>This roadmap was compiled from the Stage 7M repository baseline, docs/planning/CURRENT-ROADMAP.md, docs/planning/MASTER-TODO.md, docs/planning/ISSUES.md, docs/planning/TODO-RECONCILIATION.md, Stage 7 implementation notes, local build/runtime audit results, and the Stage 8A/8B direction retained in the locally preserved web-chat planning history.</w:t>
      </w:r>
    </w:p>
    <w:p>
      <w:pPr>
        <w:spacing w:before="0" w:after="120" w:line="278" w:lineRule="auto"/>
      </w:pPr>
      <w:r>
        <w:rPr>
          <w:rFonts w:ascii="Aptos" w:hAnsi="Aptos"/>
          <w:b w:val="0"/>
          <w:color w:val="1F2933"/>
          <w:sz w:val="21"/>
        </w:rPr>
        <w:t>The private ChatGPT conversation named 'Garmetix Web 2' was not available in the local workspace as an export and was not accessible through a public shared link. Consequently, this document includes all available locally preserved Stage 8 content but does not claim verbatim or complete access to that private conversation.</w:t>
      </w:r>
    </w:p>
    <w:tbl>
      <w:tblPr>
        <w:tblW w:type="dxa" w:w="9360"/>
        <w:jc w:val="center"/>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shd w:fill="DFF7F6"/>
          </w:tcPr>
          <w:p>
            <w:pPr>
              <w:spacing w:after="40"/>
            </w:pPr>
            <w:r>
              <w:rPr>
                <w:rFonts w:ascii="Aptos" w:hAnsi="Aptos"/>
                <w:b/>
                <w:color w:val="00A6A6"/>
                <w:sz w:val="19"/>
              </w:rPr>
              <w:t xml:space="preserve">Recommended first implementation package: </w:t>
            </w:r>
            <w:r>
              <w:rPr>
                <w:rFonts w:ascii="Aptos" w:hAnsi="Aptos"/>
                <w:b w:val="0"/>
                <w:color w:val="1F2933"/>
                <w:sz w:val="19"/>
              </w:rPr>
              <w:t>Priority 0 Baseline Stabilization: fix the empty dashboard response, remove compiler warnings, stabilize Nuxt font/build behavior, add aggregate validation, and run the authenticated Docker smoke test. This establishes a trustworthy base before v4.0 UI work.</w:t>
            </w:r>
          </w:p>
        </w:tc>
      </w:tr>
    </w:tbl>
    <w:p>
      <w:pPr>
        <w:spacing w:after="20"/>
      </w:pP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b w:val="0"/>
        <w:color w:val="52606D"/>
        <w:sz w:val="16"/>
      </w:rPr>
      <w:t xml:space="preserve">Garmetix Stage 8 Development Roadmap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ptos" w:hAnsi="Aptos"/>
        <w:b/>
        <w:color w:val="00A6A6"/>
        <w:sz w:val="17"/>
      </w:rPr>
      <w:t>GARMETIX</w:t>
    </w:r>
    <w:r>
      <w:rPr>
        <w:rFonts w:ascii="Aptos" w:hAnsi="Aptos"/>
        <w:b w:val="0"/>
        <w:color w:val="52606D"/>
        <w:sz w:val="17"/>
      </w:rPr>
      <w:t xml:space="preserve">  |  Product and Engineering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A6A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0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