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5F"/>
          <w:sz w:val="80"/>
        </w:rPr>
        <w:t>GYMOS</w:t>
      </w:r>
    </w:p>
    <w:p>
      <w:pPr>
        <w:jc w:val="center"/>
      </w:pPr>
      <w:r>
        <w:rPr>
          <w:b/>
          <w:color w:val="E07B2E"/>
          <w:sz w:val="44"/>
        </w:rPr>
        <w:t>DOC-016</w:t>
      </w:r>
    </w:p>
    <w:p>
      <w:pPr>
        <w:jc w:val="center"/>
      </w:pPr>
      <w:r>
        <w:rPr>
          <w:b/>
          <w:color w:val="222222"/>
          <w:sz w:val="48"/>
        </w:rPr>
        <w:t>Incident Response</w:t>
      </w:r>
    </w:p>
    <w:p>
      <w:pPr>
        <w:jc w:val="center"/>
      </w:pPr>
      <w:r>
        <w:rPr>
          <w:color w:val="595959"/>
          <w:sz w:val="26"/>
        </w:rPr>
        <w:t>GymOS — Outage &amp; Security Incident Handling</w:t>
      </w:r>
    </w:p>
    <w:p/>
    <w:p/>
    <w:p/>
    <w:p/>
    <w:p/>
    <w:p/>
    <w:p/>
    <w:p/>
    <w:p>
      <w:pPr>
        <w:jc w:val="center"/>
      </w:pPr>
      <w:r>
        <w:rPr>
          <w:b/>
          <w:color w:val="1F4E5F"/>
        </w:rPr>
        <w:t xml:space="preserve">Document ID:  </w:t>
      </w:r>
      <w:r>
        <w:rPr>
          <w:color w:val="222222"/>
        </w:rPr>
        <w:t>DOC-016</w:t>
      </w:r>
    </w:p>
    <w:p>
      <w:pPr>
        <w:jc w:val="center"/>
      </w:pPr>
      <w:r>
        <w:rPr>
          <w:b/>
          <w:color w:val="1F4E5F"/>
        </w:rPr>
        <w:t xml:space="preserve">Version:  </w:t>
      </w:r>
      <w:r>
        <w:rPr>
          <w:color w:val="222222"/>
        </w:rPr>
        <w:t>1.0</w:t>
      </w:r>
    </w:p>
    <w:p>
      <w:pPr>
        <w:jc w:val="center"/>
      </w:pPr>
      <w:r>
        <w:rPr>
          <w:b/>
          <w:color w:val="1F4E5F"/>
        </w:rPr>
        <w:t xml:space="preserve">Status:  </w:t>
      </w:r>
      <w:r>
        <w:rPr>
          <w:color w:val="222222"/>
        </w:rPr>
        <w:t>Draft</w:t>
      </w:r>
    </w:p>
    <w:p>
      <w:pPr>
        <w:jc w:val="center"/>
      </w:pPr>
      <w:r>
        <w:rPr>
          <w:b/>
          <w:color w:val="1F4E5F"/>
        </w:rPr>
        <w:t xml:space="preserve">Author:  </w:t>
      </w:r>
      <w:r>
        <w:rPr>
          <w:color w:val="222222"/>
        </w:rPr>
        <w:t>GymOS DevOps / Security Team</w:t>
      </w:r>
    </w:p>
    <w:p>
      <w:pPr>
        <w:jc w:val="center"/>
      </w:pPr>
      <w:r>
        <w:rPr>
          <w:b/>
          <w:color w:val="1F4E5F"/>
        </w:rPr>
        <w:t xml:space="preserve">Date:  </w:t>
      </w:r>
      <w:r>
        <w:rPr>
          <w:color w:val="222222"/>
        </w:rPr>
        <w:t>2026-09-02</w:t>
      </w:r>
    </w:p>
    <w:p>
      <w:pPr>
        <w:jc w:val="center"/>
      </w:pPr>
      <w:r>
        <w:rPr>
          <w:b/>
          <w:color w:val="1F4E5F"/>
        </w:rPr>
        <w:t xml:space="preserve">Classification:  </w:t>
      </w:r>
      <w:r>
        <w:rPr>
          <w:color w:val="222222"/>
        </w:rPr>
        <w:t>Internal / Confidential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what happens during incidents: server outage, database outage, payment outage, and security incidents. It covers roles, severity, response steps, communication, and post-incident review.</w:t>
      </w:r>
    </w:p>
    <w:p>
      <w:pPr>
        <w:pStyle w:val="Heading1"/>
      </w:pPr>
      <w:r>
        <w:t>2.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88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604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On-call Engineer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First responder; triage, containment, recovery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Incident Commander</w:t>
            </w:r>
          </w:p>
        </w:tc>
        <w:tc>
          <w:tcPr>
            <w:tcW w:type="dxa" w:w="6048"/>
            <w:shd w:val="clear" w:color="auto" w:fill="EAF1F3"/>
          </w:tcPr>
          <w:p>
            <w:r>
              <w:rPr>
                <w:sz w:val="19"/>
              </w:rPr>
              <w:t>Coordinates response, communication, decisions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Subject Matter Expert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Deep investigation (DB, payments, security)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Communication Lead</w:t>
            </w:r>
          </w:p>
        </w:tc>
        <w:tc>
          <w:tcPr>
            <w:tcW w:type="dxa" w:w="6048"/>
            <w:shd w:val="clear" w:color="auto" w:fill="EAF1F3"/>
          </w:tcPr>
          <w:p>
            <w:r>
              <w:rPr>
                <w:sz w:val="19"/>
              </w:rPr>
              <w:t>Internal + customer-facing updates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Post-Incident Lead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Runs the review and action-item follow-up</w:t>
            </w:r>
          </w:p>
        </w:tc>
      </w:tr>
    </w:tbl>
    <w:p/>
    <w:p>
      <w:pPr>
        <w:pStyle w:val="Heading1"/>
      </w:pPr>
      <w:r>
        <w:t>3. Severity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29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460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3312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SEV-1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Critical outage / data loss / security breach affecting customers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Immediate 24x7 response, incident commander</w:t>
            </w:r>
          </w:p>
        </w:tc>
      </w:tr>
      <w:tr>
        <w:tc>
          <w:tcPr>
            <w:tcW w:type="dxa" w:w="1296"/>
            <w:shd w:val="clear" w:color="auto" w:fill="EAF1F3"/>
          </w:tcPr>
          <w:p>
            <w:r>
              <w:rPr>
                <w:sz w:val="19"/>
              </w:rPr>
              <w:t>SEV-2</w:t>
            </w:r>
          </w:p>
        </w:tc>
        <w:tc>
          <w:tcPr>
            <w:tcW w:type="dxa" w:w="4608"/>
            <w:shd w:val="clear" w:color="auto" w:fill="EAF1F3"/>
          </w:tcPr>
          <w:p>
            <w:r>
              <w:rPr>
                <w:sz w:val="19"/>
              </w:rPr>
              <w:t>Major degradation, partial outage, payment failure</w:t>
            </w:r>
          </w:p>
        </w:tc>
        <w:tc>
          <w:tcPr>
            <w:tcW w:type="dxa" w:w="3312"/>
            <w:shd w:val="clear" w:color="auto" w:fill="EAF1F3"/>
          </w:tcPr>
          <w:p>
            <w:r>
              <w:rPr>
                <w:sz w:val="19"/>
              </w:rPr>
              <w:t>Rapid response, same-day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SEV-3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Minor issue, no customer impact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Normal queue, next working day</w:t>
            </w:r>
          </w:p>
        </w:tc>
      </w:tr>
    </w:tbl>
    <w:p/>
    <w:p>
      <w:pPr>
        <w:pStyle w:val="Heading1"/>
      </w:pPr>
      <w:r>
        <w:t>4. Incident Lifecycle</w:t>
      </w:r>
    </w:p>
    <w:p>
      <w:pPr>
        <w:pStyle w:val="ListBullet"/>
      </w:pPr>
      <w:r>
        <w:t>1. Detect (monitoring, alerts, user reports).</w:t>
      </w:r>
    </w:p>
    <w:p>
      <w:pPr>
        <w:pStyle w:val="ListBullet"/>
      </w:pPr>
      <w:r>
        <w:t>2. Triage &amp; classify (severity, scope, impact).</w:t>
      </w:r>
    </w:p>
    <w:p>
      <w:pPr>
        <w:pStyle w:val="ListBullet"/>
      </w:pPr>
      <w:r>
        <w:t>3. Contain (limit blast radius; do not make it worse).</w:t>
      </w:r>
    </w:p>
    <w:p>
      <w:pPr>
        <w:pStyle w:val="ListBullet"/>
      </w:pPr>
      <w:r>
        <w:t>4. Investigate &amp; recover (root cause, fix, restore service).</w:t>
      </w:r>
    </w:p>
    <w:p>
      <w:pPr>
        <w:pStyle w:val="ListBullet"/>
      </w:pPr>
      <w:r>
        <w:t>5. Communicate (status updates per plan).</w:t>
      </w:r>
    </w:p>
    <w:p>
      <w:pPr>
        <w:pStyle w:val="ListBullet"/>
      </w:pPr>
      <w:r>
        <w:t>6. Post-incident review (blameless, action items).</w:t>
      </w:r>
    </w:p>
    <w:p>
      <w:pPr>
        <w:pStyle w:val="Heading1"/>
      </w:pPr>
      <w:r>
        <w:t>5. Specific Incident Playbooks</w:t>
      </w:r>
    </w:p>
    <w:p>
      <w:pPr>
        <w:pStyle w:val="Heading2"/>
      </w:pPr>
      <w:r>
        <w:t>5.1 Server / Application Outage</w:t>
      </w:r>
    </w:p>
    <w:p>
      <w:pPr>
        <w:pStyle w:val="ListBullet"/>
      </w:pPr>
      <w:r>
        <w:t>Confirm scope via monitoring (latency, error rate, 5xx).</w:t>
      </w:r>
    </w:p>
    <w:p>
      <w:pPr>
        <w:pStyle w:val="ListBullet"/>
      </w:pPr>
      <w:r>
        <w:t>Check recent deployments; rollback if a bad deploy is suspected (DOC-015).</w:t>
      </w:r>
    </w:p>
    <w:p>
      <w:pPr>
        <w:pStyle w:val="ListBullet"/>
      </w:pPr>
      <w:r>
        <w:t>Check backend instances, workers, and load.</w:t>
      </w:r>
    </w:p>
    <w:p>
      <w:pPr>
        <w:pStyle w:val="ListBullet"/>
      </w:pPr>
      <w:r>
        <w:t>Restart or scale affected services; verify recovery with smoke tests.</w:t>
      </w:r>
    </w:p>
    <w:p>
      <w:pPr>
        <w:pStyle w:val="Heading2"/>
      </w:pPr>
      <w:r>
        <w:t>5.2 Database Outage</w:t>
      </w:r>
    </w:p>
    <w:p>
      <w:pPr>
        <w:pStyle w:val="ListBullet"/>
      </w:pPr>
      <w:r>
        <w:t>Assess read/write availability and connection health.</w:t>
      </w:r>
    </w:p>
    <w:p>
      <w:pPr>
        <w:pStyle w:val="ListBullet"/>
      </w:pPr>
      <w:r>
        <w:t>Check for lock contention, resource exhaustion, or storage issues.</w:t>
      </w:r>
    </w:p>
    <w:p>
      <w:pPr>
        <w:pStyle w:val="ListBullet"/>
      </w:pPr>
      <w:r>
        <w:t>Fail over to replica if available; restore from backup if data loss.</w:t>
      </w:r>
    </w:p>
    <w:p>
      <w:pPr>
        <w:pStyle w:val="ListBullet"/>
      </w:pPr>
      <w:r>
        <w:t>Verify data integrity and audit logs after recovery.</w:t>
      </w:r>
    </w:p>
    <w:p>
      <w:pPr>
        <w:pStyle w:val="Heading2"/>
      </w:pPr>
      <w:r>
        <w:t>5.3 Payment Outage / Failure</w:t>
      </w:r>
    </w:p>
    <w:p>
      <w:pPr>
        <w:pStyle w:val="ListBullet"/>
      </w:pPr>
      <w:r>
        <w:t>Check payment gateway status and webhook processing.</w:t>
      </w:r>
    </w:p>
    <w:p>
      <w:pPr>
        <w:pStyle w:val="ListBullet"/>
      </w:pPr>
      <w:r>
        <w:t>Verify webhook signature verification is functioning.</w:t>
      </w:r>
    </w:p>
    <w:p>
      <w:pPr>
        <w:pStyle w:val="ListBullet"/>
      </w:pPr>
      <w:r>
        <w:t>Hold or queue affected payment flows; do not mark payments successful without verification.</w:t>
      </w:r>
    </w:p>
    <w:p>
      <w:pPr>
        <w:pStyle w:val="ListBullet"/>
      </w:pPr>
      <w:r>
        <w:t>Reconcile transactions; communicate with affected tenants.</w:t>
      </w:r>
    </w:p>
    <w:p>
      <w:pPr>
        <w:pStyle w:val="Heading2"/>
      </w:pPr>
      <w:r>
        <w:t>5.4 Security Incident</w:t>
      </w:r>
    </w:p>
    <w:p>
      <w:pPr>
        <w:pStyle w:val="ListBullet"/>
      </w:pPr>
      <w:r>
        <w:t>Contain immediately: revoke tokens/sessions, suspend affected accounts/tenants.</w:t>
      </w:r>
    </w:p>
    <w:p>
      <w:pPr>
        <w:pStyle w:val="ListBullet"/>
      </w:pPr>
      <w:r>
        <w:t>Preserve evidence and audit logs (append-only).</w:t>
      </w:r>
    </w:p>
    <w:p>
      <w:pPr>
        <w:pStyle w:val="ListBullet"/>
      </w:pPr>
      <w:r>
        <w:t>Investigate root cause; do not alter evidence.</w:t>
      </w:r>
    </w:p>
    <w:p>
      <w:pPr>
        <w:pStyle w:val="ListBullet"/>
      </w:pPr>
      <w:r>
        <w:t>Remediate (rotate secrets, patch, add controls).</w:t>
      </w:r>
    </w:p>
    <w:p>
      <w:pPr>
        <w:pStyle w:val="ListBullet"/>
      </w:pPr>
      <w:r>
        <w:t>Notify affected parties per policy; follow DOC-010.</w:t>
      </w:r>
    </w:p>
    <w:p>
      <w:pPr>
        <w:pStyle w:val="ListBullet"/>
      </w:pPr>
      <w:r>
        <w:t>Post-incident review with a security lens.</w:t>
      </w:r>
    </w:p>
    <w:p>
      <w:pPr>
        <w:pStyle w:val="Heading1"/>
      </w:pPr>
      <w:r>
        <w:t>6. Communication Plan</w:t>
      </w:r>
    </w:p>
    <w:p>
      <w:pPr>
        <w:pStyle w:val="ListBullet"/>
      </w:pPr>
      <w:r>
        <w:t>Internal: incident channel with severity, status, and timeline.</w:t>
      </w:r>
    </w:p>
    <w:p>
      <w:pPr>
        <w:pStyle w:val="ListBullet"/>
      </w:pPr>
      <w:r>
        <w:t>Customers: status page / notifications for user-visible incidents.</w:t>
      </w:r>
    </w:p>
    <w:p>
      <w:pPr>
        <w:pStyle w:val="ListBullet"/>
      </w:pPr>
      <w:r>
        <w:t>Regulatory/legal: only after appropriate internal review.</w:t>
      </w:r>
    </w:p>
    <w:p>
      <w:pPr>
        <w:pStyle w:val="ListBullet"/>
      </w:pPr>
      <w:r>
        <w:t>Never share secrets or attacker details publicly.</w:t>
      </w:r>
    </w:p>
    <w:p>
      <w:pPr>
        <w:pStyle w:val="Heading1"/>
      </w:pPr>
      <w:r>
        <w:t>7. Post-Incident Review</w:t>
      </w:r>
    </w:p>
    <w:p>
      <w:pPr>
        <w:pStyle w:val="ListBullet"/>
      </w:pPr>
      <w:r>
        <w:t>Hold a blameless review within a set timeframe (e.g., 5 working days for SEV-1/2).</w:t>
      </w:r>
    </w:p>
    <w:p>
      <w:pPr>
        <w:pStyle w:val="ListBullet"/>
      </w:pPr>
      <w:r>
        <w:t>Document timeline, root cause, impact, and actions taken.</w:t>
      </w:r>
    </w:p>
    <w:p>
      <w:pPr>
        <w:pStyle w:val="ListBullet"/>
      </w:pPr>
      <w:r>
        <w:t>Define corrective actions with owners and due dates.</w:t>
      </w:r>
    </w:p>
    <w:p>
      <w:pPr>
        <w:pStyle w:val="ListBullet"/>
      </w:pPr>
      <w:r>
        <w:t>Update runbooks, monitoring, and tests to prevent recurrence.</w:t>
      </w:r>
    </w:p>
    <w:p>
      <w:pPr>
        <w:pStyle w:val="Heading1"/>
      </w:pPr>
      <w:r>
        <w:t>8. Document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67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DOC-010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Security Design Document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DOC-014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CI/CD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DOC-015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Deployment Runbook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07B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