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1F4E5F"/>
          <w:sz w:val="80"/>
        </w:rPr>
        <w:t>GYMOS</w:t>
      </w:r>
    </w:p>
    <w:p>
      <w:pPr>
        <w:jc w:val="center"/>
      </w:pPr>
      <w:r>
        <w:rPr>
          <w:b/>
          <w:color w:val="E07B2E"/>
          <w:sz w:val="44"/>
        </w:rPr>
        <w:t>DOC-004</w:t>
      </w:r>
    </w:p>
    <w:p>
      <w:pPr>
        <w:jc w:val="center"/>
      </w:pPr>
      <w:r>
        <w:rPr>
          <w:b/>
          <w:color w:val="222222"/>
          <w:sz w:val="48"/>
        </w:rPr>
        <w:t>System Architecture Document</w:t>
      </w:r>
    </w:p>
    <w:p>
      <w:pPr>
        <w:jc w:val="center"/>
      </w:pPr>
      <w:r>
        <w:rPr>
          <w:color w:val="595959"/>
          <w:sz w:val="26"/>
        </w:rPr>
        <w:t>GymOS — Fitness Business Operating System</w:t>
      </w:r>
    </w:p>
    <w:p/>
    <w:p/>
    <w:p/>
    <w:p/>
    <w:p/>
    <w:p/>
    <w:p/>
    <w:p/>
    <w:p>
      <w:pPr>
        <w:jc w:val="center"/>
      </w:pPr>
      <w:r>
        <w:rPr>
          <w:b/>
          <w:color w:val="1F4E5F"/>
        </w:rPr>
        <w:t xml:space="preserve">Document ID:  </w:t>
      </w:r>
      <w:r>
        <w:rPr>
          <w:color w:val="222222"/>
        </w:rPr>
        <w:t>DOC-004</w:t>
      </w:r>
    </w:p>
    <w:p>
      <w:pPr>
        <w:jc w:val="center"/>
      </w:pPr>
      <w:r>
        <w:rPr>
          <w:b/>
          <w:color w:val="1F4E5F"/>
        </w:rPr>
        <w:t xml:space="preserve">Version:  </w:t>
      </w:r>
      <w:r>
        <w:rPr>
          <w:color w:val="222222"/>
        </w:rPr>
        <w:t>1.0</w:t>
      </w:r>
    </w:p>
    <w:p>
      <w:pPr>
        <w:jc w:val="center"/>
      </w:pPr>
      <w:r>
        <w:rPr>
          <w:b/>
          <w:color w:val="1F4E5F"/>
        </w:rPr>
        <w:t xml:space="preserve">Status:  </w:t>
      </w:r>
      <w:r>
        <w:rPr>
          <w:color w:val="222222"/>
        </w:rPr>
        <w:t>Draft</w:t>
      </w:r>
    </w:p>
    <w:p>
      <w:pPr>
        <w:jc w:val="center"/>
      </w:pPr>
      <w:r>
        <w:rPr>
          <w:b/>
          <w:color w:val="1F4E5F"/>
        </w:rPr>
        <w:t xml:space="preserve">Author:  </w:t>
      </w:r>
      <w:r>
        <w:rPr>
          <w:color w:val="222222"/>
        </w:rPr>
        <w:t>GymOS Architecture Team</w:t>
      </w:r>
    </w:p>
    <w:p>
      <w:pPr>
        <w:jc w:val="center"/>
      </w:pPr>
      <w:r>
        <w:rPr>
          <w:b/>
          <w:color w:val="1F4E5F"/>
        </w:rPr>
        <w:t xml:space="preserve">Date:  </w:t>
      </w:r>
      <w:r>
        <w:rPr>
          <w:color w:val="222222"/>
        </w:rPr>
        <w:t>2026-09-02</w:t>
      </w:r>
    </w:p>
    <w:p>
      <w:pPr>
        <w:jc w:val="center"/>
      </w:pPr>
      <w:r>
        <w:rPr>
          <w:b/>
          <w:color w:val="1F4E5F"/>
        </w:rPr>
        <w:t xml:space="preserve">Classification:  </w:t>
      </w:r>
      <w:r>
        <w:rPr>
          <w:color w:val="222222"/>
        </w:rPr>
        <w:t>Internal</w:t>
      </w:r>
    </w:p>
    <w:p>
      <w:r>
        <w:br w:type="page"/>
      </w:r>
    </w:p>
    <w:p>
      <w:pPr>
        <w:pStyle w:val="Heading1"/>
      </w:pPr>
      <w:r>
        <w:t>1. Introduction</w:t>
      </w:r>
    </w:p>
    <w:p>
      <w:pPr>
        <w:pStyle w:val="Heading2"/>
      </w:pPr>
      <w:r>
        <w:t>1.1 Purpose</w:t>
      </w:r>
    </w:p>
    <w:p>
      <w:r>
        <w:t>This System Architecture Document describes the high-level architecture, components, data flows, infrastructure, and security boundaries of the GymOS platform. It defines how the backend, frontend, database, background workers, caching, object storage, and third-party services fit together to deliver a multi-tenant B2B SaaS product.</w:t>
      </w:r>
    </w:p>
    <w:p>
      <w:pPr>
        <w:pStyle w:val="Heading2"/>
      </w:pPr>
      <w:r>
        <w:t>1.2 Scope and Principles</w:t>
      </w:r>
    </w:p>
    <w:p>
      <w:pPr>
        <w:pStyle w:val="ListBullet"/>
      </w:pPr>
      <w:r>
        <w:t>Multi-tenant SaaS with backend-enforced tenant isolation.</w:t>
      </w:r>
    </w:p>
    <w:p>
      <w:pPr>
        <w:pStyle w:val="ListBullet"/>
      </w:pPr>
      <w:r>
        <w:t>Modular Django monolith initially — no premature microservices.</w:t>
      </w:r>
    </w:p>
    <w:p>
      <w:pPr>
        <w:pStyle w:val="ListBullet"/>
      </w:pPr>
      <w:r>
        <w:t>The backend is the authority for authorization; frontend validation is never security.</w:t>
      </w:r>
    </w:p>
    <w:p>
      <w:pPr>
        <w:pStyle w:val="ListBullet"/>
      </w:pPr>
      <w:r>
        <w:t>Security is a first-class, cross-cutting concern.</w:t>
      </w:r>
    </w:p>
    <w:p>
      <w:pPr>
        <w:pStyle w:val="ListBullet"/>
      </w:pPr>
      <w:r>
        <w:t>Avoid overengineering, but do not cut corners on fundamental architecture.</w:t>
      </w:r>
    </w:p>
    <w:p>
      <w:r>
        <w:t>Evaluate every decision against: correctness, security, maintainability, scalability, performance, developer experience, business requirements, cost, and operational complexity.</w:t>
      </w:r>
    </w:p>
    <w:p>
      <w:pPr>
        <w:pStyle w:val="Heading1"/>
      </w:pPr>
      <w:r>
        <w:t>2. Architecture Style</w:t>
      </w:r>
    </w:p>
    <w:p>
      <w:pPr>
        <w:pStyle w:val="Heading2"/>
      </w:pPr>
      <w:r>
        <w:t>2.1 Logical Architecture</w:t>
      </w:r>
    </w:p>
    <w:p>
      <w:r>
        <w:t>GymOS uses a modular monolith: one deployable backend application organized into well-bounded Django apps, a separate React single-page application frontend, and shared infrastructure services (MySQL, Redis, Celery, object storage). This balances simplicity and scalability and can be decomposed later only if a genuine need emerges.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2736"/>
            <w:shd w:val="clear" w:color="auto" w:fill="1F4E5F"/>
          </w:tcPr>
          <w:p>
            <w:r>
              <w:rPr>
                <w:b/>
                <w:color w:val="FFFFFF"/>
                <w:sz w:val="19"/>
              </w:rPr>
              <w:t>Layer</w:t>
            </w:r>
          </w:p>
        </w:tc>
        <w:tc>
          <w:tcPr>
            <w:tcW w:type="dxa" w:w="3744"/>
            <w:shd w:val="clear" w:color="auto" w:fill="1F4E5F"/>
          </w:tcPr>
          <w:p>
            <w:r>
              <w:rPr>
                <w:b/>
                <w:color w:val="FFFFFF"/>
                <w:sz w:val="19"/>
              </w:rPr>
              <w:t>Technology</w:t>
            </w:r>
          </w:p>
        </w:tc>
        <w:tc>
          <w:tcPr>
            <w:tcW w:type="dxa" w:w="2736"/>
            <w:shd w:val="clear" w:color="auto" w:fill="1F4E5F"/>
          </w:tcPr>
          <w:p>
            <w:r>
              <w:rPr>
                <w:b/>
                <w:color w:val="FFFFFF"/>
                <w:sz w:val="19"/>
              </w:rPr>
              <w:t>Responsibility</w:t>
            </w:r>
          </w:p>
        </w:tc>
      </w:tr>
      <w:tr>
        <w:tc>
          <w:tcPr>
            <w:tcW w:type="dxa" w:w="2736"/>
          </w:tcPr>
          <w:p>
            <w:r>
              <w:rPr>
                <w:sz w:val="19"/>
              </w:rPr>
              <w:t>Presentation</w:t>
            </w:r>
          </w:p>
        </w:tc>
        <w:tc>
          <w:tcPr>
            <w:tcW w:type="dxa" w:w="3744"/>
          </w:tcPr>
          <w:p>
            <w:r>
              <w:rPr>
                <w:sz w:val="19"/>
              </w:rPr>
              <w:t>React.js + React Router + Axios</w:t>
            </w:r>
          </w:p>
        </w:tc>
        <w:tc>
          <w:tcPr>
            <w:tcW w:type="dxa" w:w="2736"/>
          </w:tcPr>
          <w:p>
            <w:r>
              <w:rPr>
                <w:sz w:val="19"/>
              </w:rPr>
              <w:t>UI, routing, API calls, state</w:t>
            </w:r>
          </w:p>
        </w:tc>
      </w:tr>
      <w:tr>
        <w:tc>
          <w:tcPr>
            <w:tcW w:type="dxa" w:w="2736"/>
            <w:shd w:val="clear" w:color="auto" w:fill="EAF1F3"/>
          </w:tcPr>
          <w:p>
            <w:r>
              <w:rPr>
                <w:sz w:val="19"/>
              </w:rPr>
              <w:t>API</w:t>
            </w:r>
          </w:p>
        </w:tc>
        <w:tc>
          <w:tcPr>
            <w:tcW w:type="dxa" w:w="3744"/>
            <w:shd w:val="clear" w:color="auto" w:fill="EAF1F3"/>
          </w:tcPr>
          <w:p>
            <w:r>
              <w:rPr>
                <w:sz w:val="19"/>
              </w:rPr>
              <w:t>Django REST Framework</w:t>
            </w:r>
          </w:p>
        </w:tc>
        <w:tc>
          <w:tcPr>
            <w:tcW w:type="dxa" w:w="2736"/>
            <w:shd w:val="clear" w:color="auto" w:fill="EAF1F3"/>
          </w:tcPr>
          <w:p>
            <w:r>
              <w:rPr>
                <w:sz w:val="19"/>
              </w:rPr>
              <w:t>Versioned REST endpoints, auth, permissions, serialization</w:t>
            </w:r>
          </w:p>
        </w:tc>
      </w:tr>
      <w:tr>
        <w:tc>
          <w:tcPr>
            <w:tcW w:type="dxa" w:w="2736"/>
          </w:tcPr>
          <w:p>
            <w:r>
              <w:rPr>
                <w:sz w:val="19"/>
              </w:rPr>
              <w:t>Application / Domain</w:t>
            </w:r>
          </w:p>
        </w:tc>
        <w:tc>
          <w:tcPr>
            <w:tcW w:type="dxa" w:w="3744"/>
          </w:tcPr>
          <w:p>
            <w:r>
              <w:rPr>
                <w:sz w:val="19"/>
              </w:rPr>
              <w:t>Django apps + service layer</w:t>
            </w:r>
          </w:p>
        </w:tc>
        <w:tc>
          <w:tcPr>
            <w:tcW w:type="dxa" w:w="2736"/>
          </w:tcPr>
          <w:p>
            <w:r>
              <w:rPr>
                <w:sz w:val="19"/>
              </w:rPr>
              <w:t>Business logic, transactions, services</w:t>
            </w:r>
          </w:p>
        </w:tc>
      </w:tr>
      <w:tr>
        <w:tc>
          <w:tcPr>
            <w:tcW w:type="dxa" w:w="2736"/>
            <w:shd w:val="clear" w:color="auto" w:fill="EAF1F3"/>
          </w:tcPr>
          <w:p>
            <w:r>
              <w:rPr>
                <w:sz w:val="19"/>
              </w:rPr>
              <w:t>Data</w:t>
            </w:r>
          </w:p>
        </w:tc>
        <w:tc>
          <w:tcPr>
            <w:tcW w:type="dxa" w:w="3744"/>
            <w:shd w:val="clear" w:color="auto" w:fill="EAF1F3"/>
          </w:tcPr>
          <w:p>
            <w:r>
              <w:rPr>
                <w:sz w:val="19"/>
              </w:rPr>
              <w:t>MySQL</w:t>
            </w:r>
          </w:p>
        </w:tc>
        <w:tc>
          <w:tcPr>
            <w:tcW w:type="dxa" w:w="2736"/>
            <w:shd w:val="clear" w:color="auto" w:fill="EAF1F3"/>
          </w:tcPr>
          <w:p>
            <w:r>
              <w:rPr>
                <w:sz w:val="19"/>
              </w:rPr>
              <w:t>Relational persistence</w:t>
            </w:r>
          </w:p>
        </w:tc>
      </w:tr>
      <w:tr>
        <w:tc>
          <w:tcPr>
            <w:tcW w:type="dxa" w:w="2736"/>
          </w:tcPr>
          <w:p>
            <w:r>
              <w:rPr>
                <w:sz w:val="19"/>
              </w:rPr>
              <w:t>Cache / Queues</w:t>
            </w:r>
          </w:p>
        </w:tc>
        <w:tc>
          <w:tcPr>
            <w:tcW w:type="dxa" w:w="3744"/>
          </w:tcPr>
          <w:p>
            <w:r>
              <w:rPr>
                <w:sz w:val="19"/>
              </w:rPr>
              <w:t>Redis</w:t>
            </w:r>
          </w:p>
        </w:tc>
        <w:tc>
          <w:tcPr>
            <w:tcW w:type="dxa" w:w="2736"/>
          </w:tcPr>
          <w:p>
            <w:r>
              <w:rPr>
                <w:sz w:val="19"/>
              </w:rPr>
              <w:t>Caching + broker for Celery</w:t>
            </w:r>
          </w:p>
        </w:tc>
      </w:tr>
      <w:tr>
        <w:tc>
          <w:tcPr>
            <w:tcW w:type="dxa" w:w="2736"/>
            <w:shd w:val="clear" w:color="auto" w:fill="EAF1F3"/>
          </w:tcPr>
          <w:p>
            <w:r>
              <w:rPr>
                <w:sz w:val="19"/>
              </w:rPr>
              <w:t>Background Jobs</w:t>
            </w:r>
          </w:p>
        </w:tc>
        <w:tc>
          <w:tcPr>
            <w:tcW w:type="dxa" w:w="3744"/>
            <w:shd w:val="clear" w:color="auto" w:fill="EAF1F3"/>
          </w:tcPr>
          <w:p>
            <w:r>
              <w:rPr>
                <w:sz w:val="19"/>
              </w:rPr>
              <w:t>Celery workers</w:t>
            </w:r>
          </w:p>
        </w:tc>
        <w:tc>
          <w:tcPr>
            <w:tcW w:type="dxa" w:w="2736"/>
            <w:shd w:val="clear" w:color="auto" w:fill="EAF1F3"/>
          </w:tcPr>
          <w:p>
            <w:r>
              <w:rPr>
                <w:sz w:val="19"/>
              </w:rPr>
              <w:t>Notifications, reminders, reports, cleanup</w:t>
            </w:r>
          </w:p>
        </w:tc>
      </w:tr>
      <w:tr>
        <w:tc>
          <w:tcPr>
            <w:tcW w:type="dxa" w:w="2736"/>
          </w:tcPr>
          <w:p>
            <w:r>
              <w:rPr>
                <w:sz w:val="19"/>
              </w:rPr>
              <w:t>File Storage</w:t>
            </w:r>
          </w:p>
        </w:tc>
        <w:tc>
          <w:tcPr>
            <w:tcW w:type="dxa" w:w="3744"/>
          </w:tcPr>
          <w:p>
            <w:r>
              <w:rPr>
                <w:sz w:val="19"/>
              </w:rPr>
              <w:t>Object storage (AWS S3)</w:t>
            </w:r>
          </w:p>
        </w:tc>
        <w:tc>
          <w:tcPr>
            <w:tcW w:type="dxa" w:w="2736"/>
          </w:tcPr>
          <w:p>
            <w:r>
              <w:rPr>
                <w:sz w:val="19"/>
              </w:rPr>
              <w:t>Profile images, logos, transformation photos, documents</w:t>
            </w:r>
          </w:p>
        </w:tc>
      </w:tr>
      <w:tr>
        <w:tc>
          <w:tcPr>
            <w:tcW w:type="dxa" w:w="2736"/>
            <w:shd w:val="clear" w:color="auto" w:fill="EAF1F3"/>
          </w:tcPr>
          <w:p>
            <w:r>
              <w:rPr>
                <w:sz w:val="19"/>
              </w:rPr>
              <w:t>Payment</w:t>
            </w:r>
          </w:p>
        </w:tc>
        <w:tc>
          <w:tcPr>
            <w:tcW w:type="dxa" w:w="3744"/>
            <w:shd w:val="clear" w:color="auto" w:fill="EAF1F3"/>
          </w:tcPr>
          <w:p>
            <w:r>
              <w:rPr>
                <w:sz w:val="19"/>
              </w:rPr>
              <w:t>Razorpay</w:t>
            </w:r>
          </w:p>
        </w:tc>
        <w:tc>
          <w:tcPr>
            <w:tcW w:type="dxa" w:w="2736"/>
            <w:shd w:val="clear" w:color="auto" w:fill="EAF1F3"/>
          </w:tcPr>
          <w:p>
            <w:r>
              <w:rPr>
                <w:sz w:val="19"/>
              </w:rPr>
              <w:t>Online payments via webhooks</w:t>
            </w:r>
          </w:p>
        </w:tc>
      </w:tr>
      <w:tr>
        <w:tc>
          <w:tcPr>
            <w:tcW w:type="dxa" w:w="2736"/>
          </w:tcPr>
          <w:p>
            <w:r>
              <w:rPr>
                <w:sz w:val="19"/>
              </w:rPr>
              <w:t>External Comms</w:t>
            </w:r>
          </w:p>
        </w:tc>
        <w:tc>
          <w:tcPr>
            <w:tcW w:type="dxa" w:w="3744"/>
          </w:tcPr>
          <w:p>
            <w:r>
              <w:rPr>
                <w:sz w:val="19"/>
              </w:rPr>
              <w:t>Email / SMS / WhatsApp providers</w:t>
            </w:r>
          </w:p>
        </w:tc>
        <w:tc>
          <w:tcPr>
            <w:tcW w:type="dxa" w:w="2736"/>
          </w:tcPr>
          <w:p>
            <w:r>
              <w:rPr>
                <w:sz w:val="19"/>
              </w:rPr>
              <w:t>Notification delivery</w:t>
            </w:r>
          </w:p>
        </w:tc>
      </w:tr>
    </w:tbl>
    <w:p/>
    <w:p>
      <w:pPr>
        <w:pStyle w:val="Heading2"/>
      </w:pPr>
      <w:r>
        <w:t>2.2 Deployment / Infrastructure View</w:t>
      </w:r>
    </w:p>
    <w:p>
      <w:r>
        <w:t>Production request path (initial architecture):</w:t>
      </w:r>
    </w:p>
    <w:p>
      <w:pPr>
        <w:pStyle w:val="ListBullet"/>
      </w:pPr>
      <w:r>
        <w:t>Internet → HTTPS / Reverse Proxy → React Frontend (static/CDN)</w:t>
      </w:r>
    </w:p>
    <w:p>
      <w:pPr>
        <w:pStyle w:val="ListBullet"/>
      </w:pPr>
      <w:r>
        <w:t>React Frontend → Django API</w:t>
      </w:r>
    </w:p>
    <w:p>
      <w:pPr>
        <w:pStyle w:val="ListBullet"/>
      </w:pPr>
      <w:r>
        <w:t>Django API → MySQL (data), Redis (cache), Object Storage (files)</w:t>
      </w:r>
    </w:p>
    <w:p>
      <w:pPr>
        <w:pStyle w:val="ListBullet"/>
      </w:pPr>
      <w:r>
        <w:t>Django API enqueues → Celery Workers (backed by Redis) for async work</w:t>
      </w:r>
    </w:p>
    <w:p>
      <w:pPr>
        <w:pStyle w:val="ListBullet"/>
      </w:pPr>
      <w:r>
        <w:t>Monitoring, error tracking, logging, and backups across all services</w:t>
      </w:r>
    </w:p>
    <w:p>
      <w:pPr>
        <w:pStyle w:val="Heading1"/>
      </w:pPr>
      <w:r>
        <w:t>3. Component Architecture</w:t>
      </w:r>
    </w:p>
    <w:p>
      <w:pPr>
        <w:pStyle w:val="Heading2"/>
      </w:pPr>
      <w:r>
        <w:t>3.1 Backend Structure (Django)</w:t>
      </w:r>
    </w:p>
    <w:p>
      <w:r>
        <w:t>A modular monolith with apps grouped by domain. Suggested layout: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 w:val="true"/>
        </w:trPr>
        <w:tc>
          <w:tcPr>
            <w:tcW w:type="dxa" w:w="2880"/>
            <w:shd w:val="clear" w:color="auto" w:fill="1F4E5F"/>
          </w:tcPr>
          <w:p>
            <w:r>
              <w:rPr>
                <w:b/>
                <w:color w:val="FFFFFF"/>
                <w:sz w:val="19"/>
              </w:rPr>
              <w:t>Area</w:t>
            </w:r>
          </w:p>
        </w:tc>
        <w:tc>
          <w:tcPr>
            <w:tcW w:type="dxa" w:w="6048"/>
            <w:shd w:val="clear" w:color="auto" w:fill="1F4E5F"/>
          </w:tcPr>
          <w:p>
            <w:r>
              <w:rPr>
                <w:b/>
                <w:color w:val="FFFFFF"/>
                <w:sz w:val="19"/>
              </w:rPr>
              <w:t>Django Apps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Core / Platform</w:t>
            </w:r>
          </w:p>
        </w:tc>
        <w:tc>
          <w:tcPr>
            <w:tcW w:type="dxa" w:w="6048"/>
          </w:tcPr>
          <w:p>
            <w:r>
              <w:rPr>
                <w:sz w:val="19"/>
              </w:rPr>
              <w:t>config, accounts, tenants, common</w:t>
            </w:r>
          </w:p>
        </w:tc>
      </w:tr>
      <w:tr>
        <w:tc>
          <w:tcPr>
            <w:tcW w:type="dxa" w:w="2880"/>
            <w:shd w:val="clear" w:color="auto" w:fill="EAF1F3"/>
          </w:tcPr>
          <w:p>
            <w:r>
              <w:rPr>
                <w:sz w:val="19"/>
              </w:rPr>
              <w:t>Operations</w:t>
            </w:r>
          </w:p>
        </w:tc>
        <w:tc>
          <w:tcPr>
            <w:tcW w:type="dxa" w:w="6048"/>
            <w:shd w:val="clear" w:color="auto" w:fill="EAF1F3"/>
          </w:tcPr>
          <w:p>
            <w:r>
              <w:rPr>
                <w:sz w:val="19"/>
              </w:rPr>
              <w:t>branches, members, trainers, memberships, attendance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Revenue</w:t>
            </w:r>
          </w:p>
        </w:tc>
        <w:tc>
          <w:tcPr>
            <w:tcW w:type="dxa" w:w="6048"/>
          </w:tcPr>
          <w:p>
            <w:r>
              <w:rPr>
                <w:sz w:val="19"/>
              </w:rPr>
              <w:t>payments</w:t>
            </w:r>
          </w:p>
        </w:tc>
      </w:tr>
      <w:tr>
        <w:tc>
          <w:tcPr>
            <w:tcW w:type="dxa" w:w="2880"/>
            <w:shd w:val="clear" w:color="auto" w:fill="EAF1F3"/>
          </w:tcPr>
          <w:p>
            <w:r>
              <w:rPr>
                <w:sz w:val="19"/>
              </w:rPr>
              <w:t>Member Experience</w:t>
            </w:r>
          </w:p>
        </w:tc>
        <w:tc>
          <w:tcPr>
            <w:tcW w:type="dxa" w:w="6048"/>
            <w:shd w:val="clear" w:color="auto" w:fill="EAF1F3"/>
          </w:tcPr>
          <w:p>
            <w:r>
              <w:rPr>
                <w:sz w:val="19"/>
              </w:rPr>
              <w:t>workouts, diets, progress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Communication</w:t>
            </w:r>
          </w:p>
        </w:tc>
        <w:tc>
          <w:tcPr>
            <w:tcW w:type="dxa" w:w="6048"/>
          </w:tcPr>
          <w:p>
            <w:r>
              <w:rPr>
                <w:sz w:val="19"/>
              </w:rPr>
              <w:t>notifications</w:t>
            </w:r>
          </w:p>
        </w:tc>
      </w:tr>
      <w:tr>
        <w:tc>
          <w:tcPr>
            <w:tcW w:type="dxa" w:w="2880"/>
            <w:shd w:val="clear" w:color="auto" w:fill="EAF1F3"/>
          </w:tcPr>
          <w:p>
            <w:r>
              <w:rPr>
                <w:sz w:val="19"/>
              </w:rPr>
              <w:t>Insights</w:t>
            </w:r>
          </w:p>
        </w:tc>
        <w:tc>
          <w:tcPr>
            <w:tcW w:type="dxa" w:w="6048"/>
            <w:shd w:val="clear" w:color="auto" w:fill="EAF1F3"/>
          </w:tcPr>
          <w:p>
            <w:r>
              <w:rPr>
                <w:sz w:val="19"/>
              </w:rPr>
              <w:t>reports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SaaS</w:t>
            </w:r>
          </w:p>
        </w:tc>
        <w:tc>
          <w:tcPr>
            <w:tcW w:type="dxa" w:w="6048"/>
          </w:tcPr>
          <w:p>
            <w:r>
              <w:rPr>
                <w:sz w:val="19"/>
              </w:rPr>
              <w:t>subscriptions, audit_logs</w:t>
            </w:r>
          </w:p>
        </w:tc>
      </w:tr>
      <w:tr>
        <w:tc>
          <w:tcPr>
            <w:tcW w:type="dxa" w:w="2880"/>
            <w:shd w:val="clear" w:color="auto" w:fill="EAF1F3"/>
          </w:tcPr>
          <w:p>
            <w:r>
              <w:rPr>
                <w:sz w:val="19"/>
              </w:rPr>
              <w:t>Growth (future)</w:t>
            </w:r>
          </w:p>
        </w:tc>
        <w:tc>
          <w:tcPr>
            <w:tcW w:type="dxa" w:w="6048"/>
            <w:shd w:val="clear" w:color="auto" w:fill="EAF1F3"/>
          </w:tcPr>
          <w:p>
            <w:r>
              <w:rPr>
                <w:sz w:val="19"/>
              </w:rPr>
              <w:t>leads, referrals</w:t>
            </w:r>
          </w:p>
        </w:tc>
      </w:tr>
    </w:tbl>
    <w:p/>
    <w:p>
      <w:r>
        <w:t>Business logic should not become a giant collection of views; use a service/domain layer where appropriate. Use database transactions for operations that must be atomic, and migrations for all schema changes.</w:t>
      </w:r>
    </w:p>
    <w:p>
      <w:pPr>
        <w:pStyle w:val="Heading2"/>
      </w:pPr>
      <w:r>
        <w:t>3.2 Frontend Structure (React)</w:t>
      </w:r>
    </w:p>
    <w:p>
      <w:r>
        <w:t>Organize the frontend by feature. Suggested layout:</w:t>
      </w:r>
    </w:p>
    <w:p>
      <w:pPr>
        <w:pStyle w:val="ListBullet"/>
      </w:pPr>
      <w:r>
        <w:t>app/ (app bootstrap), components/ (shared), layouts/ (shells), routes/</w:t>
      </w:r>
    </w:p>
    <w:p>
      <w:pPr>
        <w:pStyle w:val="ListBullet"/>
      </w:pPr>
      <w:r>
        <w:t>features/ — auth, members, trainers, memberships, attendance, payments, workouts, diets, progress, reports</w:t>
      </w:r>
    </w:p>
    <w:p>
      <w:pPr>
        <w:pStyle w:val="ListBullet"/>
      </w:pPr>
      <w:r>
        <w:t>services/ (API clients), hooks/, contexts/ (state), utils/</w:t>
      </w:r>
    </w:p>
    <w:p>
      <w:r>
        <w:t>The frontend calls versioned REST APIs and must never be the enforcement point for authorization or tenant isolation.</w:t>
      </w:r>
    </w:p>
    <w:p>
      <w:pPr>
        <w:pStyle w:val="Heading2"/>
      </w:pPr>
      <w:r>
        <w:t>3.3 Authentication Component</w:t>
      </w:r>
    </w:p>
    <w:p>
      <w:pPr>
        <w:pStyle w:val="ListBullet"/>
      </w:pPr>
      <w:r>
        <w:t>Custom Django User model.</w:t>
      </w:r>
    </w:p>
    <w:p>
      <w:pPr>
        <w:pStyle w:val="ListBullet"/>
      </w:pPr>
      <w:r>
        <w:t>JWT access + refresh tokens.</w:t>
      </w:r>
    </w:p>
    <w:p>
      <w:pPr>
        <w:pStyle w:val="ListBullet"/>
      </w:pPr>
      <w:r>
        <w:t>Login, logout, password reset, account activation/deactivation, optional email/phone verification.</w:t>
      </w:r>
    </w:p>
    <w:p>
      <w:pPr>
        <w:pStyle w:val="ListBullet"/>
      </w:pPr>
      <w:r>
        <w:t>Secure password hashing (e.g., PBKDF2/Argon2).</w:t>
      </w:r>
    </w:p>
    <w:p>
      <w:pPr>
        <w:pStyle w:val="Heading1"/>
      </w:pPr>
      <w:r>
        <w:t>4. Multi-Tenancy Design</w:t>
      </w:r>
    </w:p>
    <w:p>
      <w:r>
        <w:t>GymOS is multi-tenant: a tenant represents a gym/business. Tenant isolation is enforced at the backend for every request. Each tenant-owned resource carries a clear tenant relationship (directly or derivable through a parent entity). Super Admin operates at platform level and does not auto-access tenant data.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 w:val="true"/>
        </w:trPr>
        <w:tc>
          <w:tcPr>
            <w:tcW w:type="dxa" w:w="2304"/>
            <w:shd w:val="clear" w:color="auto" w:fill="1F4E5F"/>
          </w:tcPr>
          <w:p>
            <w:r>
              <w:rPr>
                <w:b/>
                <w:color w:val="FFFFFF"/>
                <w:sz w:val="19"/>
              </w:rPr>
              <w:t>Concept</w:t>
            </w:r>
          </w:p>
        </w:tc>
        <w:tc>
          <w:tcPr>
            <w:tcW w:type="dxa" w:w="6624"/>
            <w:shd w:val="clear" w:color="auto" w:fill="1F4E5F"/>
          </w:tcPr>
          <w:p>
            <w:r>
              <w:rPr>
                <w:b/>
                <w:color w:val="FFFFFF"/>
                <w:sz w:val="19"/>
              </w:rPr>
              <w:t>Design</w:t>
            </w:r>
          </w:p>
        </w:tc>
      </w:tr>
      <w:tr>
        <w:tc>
          <w:tcPr>
            <w:tcW w:type="dxa" w:w="2304"/>
          </w:tcPr>
          <w:p>
            <w:r>
              <w:rPr>
                <w:sz w:val="19"/>
              </w:rPr>
              <w:t>Tenant</w:t>
            </w:r>
          </w:p>
        </w:tc>
        <w:tc>
          <w:tcPr>
            <w:tcW w:type="dxa" w:w="6624"/>
          </w:tcPr>
          <w:p>
            <w:r>
              <w:rPr>
                <w:sz w:val="19"/>
              </w:rPr>
              <w:t>Gym/business; the top-level isolation boundary</w:t>
            </w:r>
          </w:p>
        </w:tc>
      </w:tr>
      <w:tr>
        <w:tc>
          <w:tcPr>
            <w:tcW w:type="dxa" w:w="2304"/>
            <w:shd w:val="clear" w:color="auto" w:fill="EAF1F3"/>
          </w:tcPr>
          <w:p>
            <w:r>
              <w:rPr>
                <w:sz w:val="19"/>
              </w:rPr>
              <w:t>Branch</w:t>
            </w:r>
          </w:p>
        </w:tc>
        <w:tc>
          <w:tcPr>
            <w:tcW w:type="dxa" w:w="6624"/>
            <w:shd w:val="clear" w:color="auto" w:fill="EAF1F3"/>
          </w:tcPr>
          <w:p>
            <w:r>
              <w:rPr>
                <w:sz w:val="19"/>
              </w:rPr>
              <w:t>Belongs to a tenant; members/trainers attach to a branch</w:t>
            </w:r>
          </w:p>
        </w:tc>
      </w:tr>
      <w:tr>
        <w:tc>
          <w:tcPr>
            <w:tcW w:type="dxa" w:w="2304"/>
          </w:tcPr>
          <w:p>
            <w:r>
              <w:rPr>
                <w:sz w:val="19"/>
              </w:rPr>
              <w:t>Isolation scope</w:t>
            </w:r>
          </w:p>
        </w:tc>
        <w:tc>
          <w:tcPr>
            <w:tcW w:type="dxa" w:w="6624"/>
          </w:tcPr>
          <w:p>
            <w:r>
              <w:rPr>
                <w:sz w:val="19"/>
              </w:rPr>
              <w:t>Gym-level, branch-level, and user/resource-level access</w:t>
            </w:r>
          </w:p>
        </w:tc>
      </w:tr>
      <w:tr>
        <w:tc>
          <w:tcPr>
            <w:tcW w:type="dxa" w:w="2304"/>
            <w:shd w:val="clear" w:color="auto" w:fill="EAF1F3"/>
          </w:tcPr>
          <w:p>
            <w:r>
              <w:rPr>
                <w:sz w:val="19"/>
              </w:rPr>
              <w:t>Enforcement</w:t>
            </w:r>
          </w:p>
        </w:tc>
        <w:tc>
          <w:tcPr>
            <w:tcW w:type="dxa" w:w="6624"/>
            <w:shd w:val="clear" w:color="auto" w:fill="EAF1F3"/>
          </w:tcPr>
          <w:p>
            <w:r>
              <w:rPr>
                <w:sz w:val="19"/>
              </w:rPr>
              <w:t>Backend authorization (Django permissions) + tenant scoping on every query</w:t>
            </w:r>
          </w:p>
        </w:tc>
      </w:tr>
      <w:tr>
        <w:tc>
          <w:tcPr>
            <w:tcW w:type="dxa" w:w="2304"/>
          </w:tcPr>
          <w:p>
            <w:r>
              <w:rPr>
                <w:sz w:val="19"/>
              </w:rPr>
              <w:t>Never</w:t>
            </w:r>
          </w:p>
        </w:tc>
        <w:tc>
          <w:tcPr>
            <w:tcW w:type="dxa" w:w="6624"/>
          </w:tcPr>
          <w:p>
            <w:r>
              <w:rPr>
                <w:sz w:val="19"/>
              </w:rPr>
              <w:t>Rely on React/frontend filtering for security</w:t>
            </w:r>
          </w:p>
        </w:tc>
      </w:tr>
    </w:tbl>
    <w:p/>
    <w:p>
      <w:pPr>
        <w:pStyle w:val="Heading1"/>
      </w:pPr>
      <w:r>
        <w:t>5. Data Flow</w:t>
      </w:r>
    </w:p>
    <w:p>
      <w:pPr>
        <w:pStyle w:val="Heading2"/>
      </w:pPr>
      <w:r>
        <w:t>5.1 Online Payment Flow (Razorpay)</w:t>
      </w:r>
    </w:p>
    <w:p>
      <w:pPr>
        <w:pStyle w:val="ListBullet"/>
      </w:pPr>
      <w:r>
        <w:t>React → Django API → create payment/order → Razorpay</w:t>
      </w:r>
    </w:p>
    <w:p>
      <w:pPr>
        <w:pStyle w:val="ListBullet"/>
      </w:pPr>
      <w:r>
        <w:t>User pays via Razorpay</w:t>
      </w:r>
    </w:p>
    <w:p>
      <w:pPr>
        <w:pStyle w:val="ListBullet"/>
      </w:pPr>
      <w:r>
        <w:t>Razorpay webhook → Django verifies webhook signature</w:t>
      </w:r>
    </w:p>
    <w:p>
      <w:pPr>
        <w:pStyle w:val="ListBullet"/>
      </w:pPr>
      <w:r>
        <w:t>Payment marked successful (only after verified webhook)</w:t>
      </w:r>
    </w:p>
    <w:p>
      <w:pPr>
        <w:pStyle w:val="ListBullet"/>
      </w:pPr>
      <w:r>
        <w:t>Never trust the frontend to confirm a successful payment.</w:t>
      </w:r>
    </w:p>
    <w:p>
      <w:pPr>
        <w:pStyle w:val="Heading2"/>
      </w:pPr>
      <w:r>
        <w:t>5.2 Attendance Flow</w:t>
      </w:r>
    </w:p>
    <w:p>
      <w:pPr>
        <w:pStyle w:val="ListBullet"/>
      </w:pPr>
      <w:r>
        <w:t>Manual: receptionist/staff records check-in for a member at a branch.</w:t>
      </w:r>
    </w:p>
    <w:p>
      <w:pPr>
        <w:pStyle w:val="ListBullet"/>
      </w:pPr>
      <w:r>
        <w:t>QR: member scans QR; backend validates and records check-in/out.</w:t>
      </w:r>
    </w:p>
    <w:p>
      <w:pPr>
        <w:pStyle w:val="ListBullet"/>
      </w:pPr>
      <w:r>
        <w:t>Future: NFC, biometric, third-party devices.</w:t>
      </w:r>
    </w:p>
    <w:p>
      <w:pPr>
        <w:pStyle w:val="Heading2"/>
      </w:pPr>
      <w:r>
        <w:t>5.3 Notification Flow</w:t>
      </w:r>
    </w:p>
    <w:p>
      <w:pPr>
        <w:pStyle w:val="ListBullet"/>
      </w:pPr>
      <w:r>
        <w:t>Events (membership expiring, payment due, workout assigned) enqueue jobs.</w:t>
      </w:r>
    </w:p>
    <w:p>
      <w:pPr>
        <w:pStyle w:val="ListBullet"/>
      </w:pPr>
      <w:r>
        <w:t>Celery workers (backed by Redis) dispatch via in-app, email, SMS, WhatsApp.</w:t>
      </w:r>
    </w:p>
    <w:p>
      <w:pPr>
        <w:pStyle w:val="ListBullet"/>
      </w:pPr>
      <w:r>
        <w:t>Jobs should be idempotent where appropriate.</w:t>
      </w:r>
    </w:p>
    <w:p>
      <w:pPr>
        <w:pStyle w:val="Heading1"/>
      </w:pPr>
      <w:r>
        <w:t>6. API Design</w:t>
      </w:r>
    </w:p>
    <w:p>
      <w:pPr>
        <w:pStyle w:val="Heading2"/>
      </w:pPr>
      <w:r>
        <w:t>6.1 Versioning and Structure</w:t>
      </w:r>
    </w:p>
    <w:p>
      <w:r>
        <w:t>Versioned REST APIs under /api/v1/. Example endpoints:</w:t>
      </w:r>
    </w:p>
    <w:p>
      <w:pPr>
        <w:pStyle w:val="ListBullet"/>
      </w:pPr>
      <w:r>
        <w:t>/api/v1/auth/</w:t>
      </w:r>
    </w:p>
    <w:p>
      <w:pPr>
        <w:pStyle w:val="ListBullet"/>
      </w:pPr>
      <w:r>
        <w:t>/api/v1/gyms/</w:t>
      </w:r>
    </w:p>
    <w:p>
      <w:pPr>
        <w:pStyle w:val="ListBullet"/>
      </w:pPr>
      <w:r>
        <w:t>/api/v1/branches/</w:t>
      </w:r>
    </w:p>
    <w:p>
      <w:pPr>
        <w:pStyle w:val="ListBullet"/>
      </w:pPr>
      <w:r>
        <w:t>/api/v1/members/</w:t>
      </w:r>
    </w:p>
    <w:p>
      <w:pPr>
        <w:pStyle w:val="ListBullet"/>
      </w:pPr>
      <w:r>
        <w:t>/api/v1/trainers/</w:t>
      </w:r>
    </w:p>
    <w:p>
      <w:pPr>
        <w:pStyle w:val="ListBullet"/>
      </w:pPr>
      <w:r>
        <w:t>/api/v1/memberships/</w:t>
      </w:r>
    </w:p>
    <w:p>
      <w:pPr>
        <w:pStyle w:val="ListBullet"/>
      </w:pPr>
      <w:r>
        <w:t>/api/v1/attendance/</w:t>
      </w:r>
    </w:p>
    <w:p>
      <w:pPr>
        <w:pStyle w:val="ListBullet"/>
      </w:pPr>
      <w:r>
        <w:t>/api/v1/payments/</w:t>
      </w:r>
    </w:p>
    <w:p>
      <w:pPr>
        <w:pStyle w:val="ListBullet"/>
      </w:pPr>
      <w:r>
        <w:t>/api/v1/workouts/</w:t>
      </w:r>
    </w:p>
    <w:p>
      <w:pPr>
        <w:pStyle w:val="ListBullet"/>
      </w:pPr>
      <w:r>
        <w:t>/api/v1/diets/</w:t>
      </w:r>
    </w:p>
    <w:p>
      <w:pPr>
        <w:pStyle w:val="ListBullet"/>
      </w:pPr>
      <w:r>
        <w:t>/api/v1/progress/</w:t>
      </w:r>
    </w:p>
    <w:p>
      <w:pPr>
        <w:pStyle w:val="ListBullet"/>
      </w:pPr>
      <w:r>
        <w:t>/api/v1/notifications/</w:t>
      </w:r>
    </w:p>
    <w:p>
      <w:pPr>
        <w:pStyle w:val="ListBullet"/>
      </w:pPr>
      <w:r>
        <w:t>/api/v1/reports/</w:t>
      </w:r>
    </w:p>
    <w:p>
      <w:pPr>
        <w:pStyle w:val="ListBullet"/>
      </w:pPr>
      <w:r>
        <w:t>/api/v1/subscriptions/</w:t>
      </w:r>
    </w:p>
    <w:p>
      <w:r>
        <w:t>Every API must define: HTTP method, endpoint, authentication, required permissions, request schema, response schema, validation, error responses, pagination, filtering, sorting, search, and tenant scope. Generate OpenAPI documentation.</w:t>
      </w:r>
    </w:p>
    <w:p>
      <w:pPr>
        <w:pStyle w:val="Heading2"/>
      </w:pPr>
      <w:r>
        <w:t>6.2 Response Standard</w:t>
      </w:r>
    </w:p>
    <w:p>
      <w:r>
        <w:t>Use consistent API responses:</w:t>
      </w:r>
    </w:p>
    <w:p>
      <w:r>
        <w:t>Success: { "success": true, "data": {}, "message": "Member created successfully" }</w:t>
      </w:r>
    </w:p>
    <w:p>
      <w:r>
        <w:t>Error: { "success": false, "error": { "code": "VALIDATION_ERROR", "message": "Invalid member data", "details": {} } }</w:t>
      </w:r>
    </w:p>
    <w:p>
      <w:r>
        <w:t>Do not expose stack traces or internal database errors to users.</w:t>
      </w:r>
    </w:p>
    <w:p>
      <w:pPr>
        <w:pStyle w:val="Heading1"/>
      </w:pPr>
      <w:r>
        <w:t>7. Background Jobs, Caching, and Storage</w:t>
      </w:r>
    </w:p>
    <w:p>
      <w:pPr>
        <w:pStyle w:val="Heading2"/>
      </w:pPr>
      <w:r>
        <w:t>7.1 Background Jobs (Celery + Redis)</w:t>
      </w:r>
    </w:p>
    <w:p>
      <w:pPr>
        <w:pStyle w:val="ListBullet"/>
      </w:pPr>
      <w:r>
        <w:t>Membership expiry reminders, scheduled notifications, email, report generation, payment follow-up, and cleanup jobs.</w:t>
      </w:r>
    </w:p>
    <w:p>
      <w:pPr>
        <w:pStyle w:val="ListBullet"/>
      </w:pPr>
      <w:r>
        <w:t>Jobs must be idempotent where appropriate.</w:t>
      </w:r>
    </w:p>
    <w:p>
      <w:pPr>
        <w:pStyle w:val="Heading2"/>
      </w:pPr>
      <w:r>
        <w:t>7.2 Caching (Redis)</w:t>
      </w:r>
    </w:p>
    <w:p>
      <w:pPr>
        <w:pStyle w:val="ListBullet"/>
      </w:pPr>
      <w:r>
        <w:t>Cache gym settings, membership plans, frequently accessed dashboard data, and permission/feature configuration.</w:t>
      </w:r>
    </w:p>
    <w:p>
      <w:pPr>
        <w:pStyle w:val="ListBullet"/>
      </w:pPr>
      <w:r>
        <w:t>Do not cache sensitive data without a clear invalidation strategy.</w:t>
      </w:r>
    </w:p>
    <w:p>
      <w:pPr>
        <w:pStyle w:val="Heading2"/>
      </w:pPr>
      <w:r>
        <w:t>7.3 File Storage (Object Storage)</w:t>
      </w:r>
    </w:p>
    <w:p>
      <w:pPr>
        <w:pStyle w:val="ListBullet"/>
      </w:pPr>
      <w:r>
        <w:t>Store profile images, gym logos, transformation photos, and documents.</w:t>
      </w:r>
    </w:p>
    <w:p>
      <w:pPr>
        <w:pStyle w:val="ListBullet"/>
      </w:pPr>
      <w:r>
        <w:t>Validate file type, size, and name; enforce permissions.</w:t>
      </w:r>
    </w:p>
    <w:p>
      <w:pPr>
        <w:pStyle w:val="ListBullet"/>
      </w:pPr>
      <w:r>
        <w:t>Do not expose private files publicly without authorization.</w:t>
      </w:r>
    </w:p>
    <w:p>
      <w:pPr>
        <w:pStyle w:val="Heading1"/>
      </w:pPr>
      <w:r>
        <w:t>8. Observability, DevOps, and Deployment</w:t>
      </w:r>
    </w:p>
    <w:p>
      <w:pPr>
        <w:pStyle w:val="Heading2"/>
      </w:pPr>
      <w:r>
        <w:t>8.1 Observability</w:t>
      </w:r>
    </w:p>
    <w:p>
      <w:pPr>
        <w:pStyle w:val="ListBullet"/>
      </w:pPr>
      <w:r>
        <w:t>Monitor API latency, errors, database performance, CPU/memory, background jobs, payment failures, authentication failures, and queue failures.</w:t>
      </w:r>
    </w:p>
    <w:p>
      <w:pPr>
        <w:pStyle w:val="ListBullet"/>
      </w:pPr>
      <w:r>
        <w:t>Use structured logs; never log secrets.</w:t>
      </w:r>
    </w:p>
    <w:p>
      <w:pPr>
        <w:pStyle w:val="ListBullet"/>
      </w:pPr>
      <w:r>
        <w:t>Include error tracking (e.g., Sentry) and monitoring (e.g., Prometheus/Grafana or a managed alternative).</w:t>
      </w:r>
    </w:p>
    <w:p>
      <w:pPr>
        <w:pStyle w:val="Heading2"/>
      </w:pPr>
      <w:r>
        <w:t>8.2 DevOps and Environments</w:t>
      </w:r>
    </w:p>
    <w:p>
      <w:pPr>
        <w:pStyle w:val="ListBullet"/>
      </w:pPr>
      <w:r>
        <w:t>Git + GitHub, feature branches, pull requests, code review, CI/CD, environment variables.</w:t>
      </w:r>
    </w:p>
    <w:p>
      <w:pPr>
        <w:pStyle w:val="ListBullet"/>
      </w:pPr>
      <w:r>
        <w:t>Environments: Development, Testing, Staging, Production.</w:t>
      </w:r>
    </w:p>
    <w:p>
      <w:pPr>
        <w:pStyle w:val="ListBullet"/>
      </w:pPr>
      <w:r>
        <w:t>Secrets managed via environment variables / secret manager — never committed.</w:t>
      </w:r>
    </w:p>
    <w:p>
      <w:pPr>
        <w:pStyle w:val="Heading2"/>
      </w:pPr>
      <w:r>
        <w:t>8.3 Backups and DR</w:t>
      </w:r>
    </w:p>
    <w:p>
      <w:pPr>
        <w:pStyle w:val="ListBullet"/>
      </w:pPr>
      <w:r>
        <w:t>Automated database backups with retention, recovery process, media backup strategy, and disaster-recovery documentation.</w:t>
      </w:r>
    </w:p>
    <w:p>
      <w:pPr>
        <w:pStyle w:val="ListBullet"/>
      </w:pPr>
      <w:r>
        <w:t>Regularly test restoration.</w:t>
      </w:r>
    </w:p>
    <w:p>
      <w:pPr>
        <w:pStyle w:val="Heading1"/>
      </w:pPr>
      <w:r>
        <w:t>9. Security Boundaries</w:t>
      </w:r>
    </w:p>
    <w:p>
      <w:r>
        <w:t>Security is enforced across well-defined boundaries. See DOC-010 for the full Security Design; key architectural boundaries are summarized here: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 w:val="true"/>
        </w:trPr>
        <w:tc>
          <w:tcPr>
            <w:tcW w:type="dxa" w:w="2160"/>
            <w:shd w:val="clear" w:color="auto" w:fill="1F4E5F"/>
          </w:tcPr>
          <w:p>
            <w:r>
              <w:rPr>
                <w:b/>
                <w:color w:val="FFFFFF"/>
                <w:sz w:val="19"/>
              </w:rPr>
              <w:t>Boundary</w:t>
            </w:r>
          </w:p>
        </w:tc>
        <w:tc>
          <w:tcPr>
            <w:tcW w:type="dxa" w:w="6768"/>
            <w:shd w:val="clear" w:color="auto" w:fill="1F4E5F"/>
          </w:tcPr>
          <w:p>
            <w:r>
              <w:rPr>
                <w:b/>
                <w:color w:val="FFFFFF"/>
                <w:sz w:val="19"/>
              </w:rPr>
              <w:t>Controls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Transport</w:t>
            </w:r>
          </w:p>
        </w:tc>
        <w:tc>
          <w:tcPr>
            <w:tcW w:type="dxa" w:w="6768"/>
          </w:tcPr>
          <w:p>
            <w:r>
              <w:rPr>
                <w:sz w:val="19"/>
              </w:rPr>
              <w:t>HTTPS/TLS end-to-end</w:t>
            </w:r>
          </w:p>
        </w:tc>
      </w:tr>
      <w:tr>
        <w:tc>
          <w:tcPr>
            <w:tcW w:type="dxa" w:w="2160"/>
            <w:shd w:val="clear" w:color="auto" w:fill="EAF1F3"/>
          </w:tcPr>
          <w:p>
            <w:r>
              <w:rPr>
                <w:sz w:val="19"/>
              </w:rPr>
              <w:t>Application</w:t>
            </w:r>
          </w:p>
        </w:tc>
        <w:tc>
          <w:tcPr>
            <w:tcW w:type="dxa" w:w="6768"/>
            <w:shd w:val="clear" w:color="auto" w:fill="EAF1F3"/>
          </w:tcPr>
          <w:p>
            <w:r>
              <w:rPr>
                <w:sz w:val="19"/>
              </w:rPr>
              <w:t>Authentication (JWT), RBAC authorization, input validation, rate limiting, CORS, CSRF where applicable, secure headers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Tenant</w:t>
            </w:r>
          </w:p>
        </w:tc>
        <w:tc>
          <w:tcPr>
            <w:tcW w:type="dxa" w:w="6768"/>
          </w:tcPr>
          <w:p>
            <w:r>
              <w:rPr>
                <w:sz w:val="19"/>
              </w:rPr>
              <w:t>Backend-enforced tenant isolation; per-request tenant scoping</w:t>
            </w:r>
          </w:p>
        </w:tc>
      </w:tr>
      <w:tr>
        <w:tc>
          <w:tcPr>
            <w:tcW w:type="dxa" w:w="2160"/>
            <w:shd w:val="clear" w:color="auto" w:fill="EAF1F3"/>
          </w:tcPr>
          <w:p>
            <w:r>
              <w:rPr>
                <w:sz w:val="19"/>
              </w:rPr>
              <w:t>Data</w:t>
            </w:r>
          </w:p>
        </w:tc>
        <w:tc>
          <w:tcPr>
            <w:tcW w:type="dxa" w:w="6768"/>
            <w:shd w:val="clear" w:color="auto" w:fill="EAF1F3"/>
          </w:tcPr>
          <w:p>
            <w:r>
              <w:rPr>
                <w:sz w:val="19"/>
              </w:rPr>
              <w:t>Decimal-safe money, encrypted secrets, no sensitive data in logs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Files</w:t>
            </w:r>
          </w:p>
        </w:tc>
        <w:tc>
          <w:tcPr>
            <w:tcW w:type="dxa" w:w="6768"/>
          </w:tcPr>
          <w:p>
            <w:r>
              <w:rPr>
                <w:sz w:val="19"/>
              </w:rPr>
              <w:t>Type/size/name validation, authorization-gated access</w:t>
            </w:r>
          </w:p>
        </w:tc>
      </w:tr>
      <w:tr>
        <w:tc>
          <w:tcPr>
            <w:tcW w:type="dxa" w:w="2160"/>
            <w:shd w:val="clear" w:color="auto" w:fill="EAF1F3"/>
          </w:tcPr>
          <w:p>
            <w:r>
              <w:rPr>
                <w:sz w:val="19"/>
              </w:rPr>
              <w:t>Payments</w:t>
            </w:r>
          </w:p>
        </w:tc>
        <w:tc>
          <w:tcPr>
            <w:tcW w:type="dxa" w:w="6768"/>
            <w:shd w:val="clear" w:color="auto" w:fill="EAF1F3"/>
          </w:tcPr>
          <w:p>
            <w:r>
              <w:rPr>
                <w:sz w:val="19"/>
              </w:rPr>
              <w:t>Webhook signature verification; no client-trusted confirmation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Platform Admin</w:t>
            </w:r>
          </w:p>
        </w:tc>
        <w:tc>
          <w:tcPr>
            <w:tcW w:type="dxa" w:w="6768"/>
          </w:tcPr>
          <w:p>
            <w:r>
              <w:rPr>
                <w:sz w:val="19"/>
              </w:rPr>
              <w:t>Super Admin access is audited and never implicit</w:t>
            </w:r>
          </w:p>
        </w:tc>
      </w:tr>
    </w:tbl>
    <w:p/>
    <w:p>
      <w:pPr>
        <w:pStyle w:val="Heading1"/>
      </w:pPr>
      <w:r>
        <w:t>10. Scalability and Evolution</w:t>
      </w:r>
    </w:p>
    <w:p>
      <w:pPr>
        <w:pStyle w:val="ListBullet"/>
      </w:pPr>
      <w:r>
        <w:t>Start as a modular monolith; scale vertically and via caching/queues first.</w:t>
      </w:r>
    </w:p>
    <w:p>
      <w:pPr>
        <w:pStyle w:val="ListBullet"/>
      </w:pPr>
      <w:r>
        <w:t>Decompose into services only if a genuine scaling or team-boundary need emerges (documented via ADRs).</w:t>
      </w:r>
    </w:p>
    <w:p>
      <w:pPr>
        <w:pStyle w:val="ListBullet"/>
      </w:pPr>
      <w:r>
        <w:t>Design for thousands of gyms: efficient queries, indexing strategy (DOC-005), caching, and background processing.</w:t>
      </w:r>
    </w:p>
    <w:p>
      <w:pPr>
        <w:pStyle w:val="Heading1"/>
      </w:pPr>
      <w:r>
        <w:t>11. Architecture Decisions (Summary)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rPr>
          <w:tblHeader w:val="true"/>
        </w:trPr>
        <w:tc>
          <w:tcPr>
            <w:tcW w:type="dxa" w:w="1008"/>
            <w:shd w:val="clear" w:color="auto" w:fill="1F4E5F"/>
          </w:tcPr>
          <w:p>
            <w:r>
              <w:rPr>
                <w:b/>
                <w:color w:val="FFFFFF"/>
                <w:sz w:val="19"/>
              </w:rPr>
              <w:t>#</w:t>
            </w:r>
          </w:p>
        </w:tc>
        <w:tc>
          <w:tcPr>
            <w:tcW w:type="dxa" w:w="3744"/>
            <w:shd w:val="clear" w:color="auto" w:fill="1F4E5F"/>
          </w:tcPr>
          <w:p>
            <w:r>
              <w:rPr>
                <w:b/>
                <w:color w:val="FFFFFF"/>
                <w:sz w:val="19"/>
              </w:rPr>
              <w:t>Decision</w:t>
            </w:r>
          </w:p>
        </w:tc>
        <w:tc>
          <w:tcPr>
            <w:tcW w:type="dxa" w:w="4176"/>
            <w:shd w:val="clear" w:color="auto" w:fill="1F4E5F"/>
          </w:tcPr>
          <w:p>
            <w:r>
              <w:rPr>
                <w:b/>
                <w:color w:val="FFFFFF"/>
                <w:sz w:val="19"/>
              </w:rPr>
              <w:t>Rationale</w:t>
            </w:r>
          </w:p>
        </w:tc>
      </w:tr>
      <w:tr>
        <w:tc>
          <w:tcPr>
            <w:tcW w:type="dxa" w:w="1008"/>
          </w:tcPr>
          <w:p>
            <w:r>
              <w:rPr>
                <w:sz w:val="19"/>
              </w:rPr>
              <w:t>ADR-1</w:t>
            </w:r>
          </w:p>
        </w:tc>
        <w:tc>
          <w:tcPr>
            <w:tcW w:type="dxa" w:w="3744"/>
          </w:tcPr>
          <w:p>
            <w:r>
              <w:rPr>
                <w:sz w:val="19"/>
              </w:rPr>
              <w:t>Modular Django monolith</w:t>
            </w:r>
          </w:p>
        </w:tc>
        <w:tc>
          <w:tcPr>
            <w:tcW w:type="dxa" w:w="4176"/>
          </w:tcPr>
          <w:p>
            <w:r>
              <w:rPr>
                <w:sz w:val="19"/>
              </w:rPr>
              <w:t>Simplicity, developer velocity; avoid premature microservices</w:t>
            </w:r>
          </w:p>
        </w:tc>
      </w:tr>
      <w:tr>
        <w:tc>
          <w:tcPr>
            <w:tcW w:type="dxa" w:w="1008"/>
            <w:shd w:val="clear" w:color="auto" w:fill="EAF1F3"/>
          </w:tcPr>
          <w:p>
            <w:r>
              <w:rPr>
                <w:sz w:val="19"/>
              </w:rPr>
              <w:t>ADR-2</w:t>
            </w:r>
          </w:p>
        </w:tc>
        <w:tc>
          <w:tcPr>
            <w:tcW w:type="dxa" w:w="3744"/>
            <w:shd w:val="clear" w:color="auto" w:fill="EAF1F3"/>
          </w:tcPr>
          <w:p>
            <w:r>
              <w:rPr>
                <w:sz w:val="19"/>
              </w:rPr>
              <w:t>React SPA frontend</w:t>
            </w:r>
          </w:p>
        </w:tc>
        <w:tc>
          <w:tcPr>
            <w:tcW w:type="dxa" w:w="4176"/>
            <w:shd w:val="clear" w:color="auto" w:fill="EAF1F3"/>
          </w:tcPr>
          <w:p>
            <w:r>
              <w:rPr>
                <w:sz w:val="19"/>
              </w:rPr>
              <w:t>Rich, responsive role-based dashboards</w:t>
            </w:r>
          </w:p>
        </w:tc>
      </w:tr>
      <w:tr>
        <w:tc>
          <w:tcPr>
            <w:tcW w:type="dxa" w:w="1008"/>
          </w:tcPr>
          <w:p>
            <w:r>
              <w:rPr>
                <w:sz w:val="19"/>
              </w:rPr>
              <w:t>ADR-3</w:t>
            </w:r>
          </w:p>
        </w:tc>
        <w:tc>
          <w:tcPr>
            <w:tcW w:type="dxa" w:w="3744"/>
          </w:tcPr>
          <w:p>
            <w:r>
              <w:rPr>
                <w:sz w:val="19"/>
              </w:rPr>
              <w:t>MySQL relational DB</w:t>
            </w:r>
          </w:p>
        </w:tc>
        <w:tc>
          <w:tcPr>
            <w:tcW w:type="dxa" w:w="4176"/>
          </w:tcPr>
          <w:p>
            <w:r>
              <w:rPr>
                <w:sz w:val="19"/>
              </w:rPr>
              <w:t>Strong relational integrity for memberships, payments, transactions</w:t>
            </w:r>
          </w:p>
        </w:tc>
      </w:tr>
      <w:tr>
        <w:tc>
          <w:tcPr>
            <w:tcW w:type="dxa" w:w="1008"/>
            <w:shd w:val="clear" w:color="auto" w:fill="EAF1F3"/>
          </w:tcPr>
          <w:p>
            <w:r>
              <w:rPr>
                <w:sz w:val="19"/>
              </w:rPr>
              <w:t>ADR-4</w:t>
            </w:r>
          </w:p>
        </w:tc>
        <w:tc>
          <w:tcPr>
            <w:tcW w:type="dxa" w:w="3744"/>
            <w:shd w:val="clear" w:color="auto" w:fill="EAF1F3"/>
          </w:tcPr>
          <w:p>
            <w:r>
              <w:rPr>
                <w:sz w:val="19"/>
              </w:rPr>
              <w:t>Backend-enforced tenant isolation</w:t>
            </w:r>
          </w:p>
        </w:tc>
        <w:tc>
          <w:tcPr>
            <w:tcW w:type="dxa" w:w="4176"/>
            <w:shd w:val="clear" w:color="auto" w:fill="EAF1F3"/>
          </w:tcPr>
          <w:p>
            <w:r>
              <w:rPr>
                <w:sz w:val="19"/>
              </w:rPr>
              <w:t>Security; never rely on frontend</w:t>
            </w:r>
          </w:p>
        </w:tc>
      </w:tr>
      <w:tr>
        <w:tc>
          <w:tcPr>
            <w:tcW w:type="dxa" w:w="1008"/>
          </w:tcPr>
          <w:p>
            <w:r>
              <w:rPr>
                <w:sz w:val="19"/>
              </w:rPr>
              <w:t>ADR-5</w:t>
            </w:r>
          </w:p>
        </w:tc>
        <w:tc>
          <w:tcPr>
            <w:tcW w:type="dxa" w:w="3744"/>
          </w:tcPr>
          <w:p>
            <w:r>
              <w:rPr>
                <w:sz w:val="19"/>
              </w:rPr>
              <w:t>Celery + Redis for async</w:t>
            </w:r>
          </w:p>
        </w:tc>
        <w:tc>
          <w:tcPr>
            <w:tcW w:type="dxa" w:w="4176"/>
          </w:tcPr>
          <w:p>
            <w:r>
              <w:rPr>
                <w:sz w:val="19"/>
              </w:rPr>
              <w:t>Reliable notifications/reminders</w:t>
            </w:r>
          </w:p>
        </w:tc>
      </w:tr>
      <w:tr>
        <w:tc>
          <w:tcPr>
            <w:tcW w:type="dxa" w:w="1008"/>
            <w:shd w:val="clear" w:color="auto" w:fill="EAF1F3"/>
          </w:tcPr>
          <w:p>
            <w:r>
              <w:rPr>
                <w:sz w:val="19"/>
              </w:rPr>
              <w:t>ADR-6</w:t>
            </w:r>
          </w:p>
        </w:tc>
        <w:tc>
          <w:tcPr>
            <w:tcW w:type="dxa" w:w="3744"/>
            <w:shd w:val="clear" w:color="auto" w:fill="EAF1F3"/>
          </w:tcPr>
          <w:p>
            <w:r>
              <w:rPr>
                <w:sz w:val="19"/>
              </w:rPr>
              <w:t>Razorpay with webhooks</w:t>
            </w:r>
          </w:p>
        </w:tc>
        <w:tc>
          <w:tcPr>
            <w:tcW w:type="dxa" w:w="4176"/>
            <w:shd w:val="clear" w:color="auto" w:fill="EAF1F3"/>
          </w:tcPr>
          <w:p>
            <w:r>
              <w:rPr>
                <w:sz w:val="19"/>
              </w:rPr>
              <w:t>Verified online payments</w:t>
            </w:r>
          </w:p>
        </w:tc>
      </w:tr>
      <w:tr>
        <w:tc>
          <w:tcPr>
            <w:tcW w:type="dxa" w:w="1008"/>
          </w:tcPr>
          <w:p>
            <w:r>
              <w:rPr>
                <w:sz w:val="19"/>
              </w:rPr>
              <w:t>ADR-7</w:t>
            </w:r>
          </w:p>
        </w:tc>
        <w:tc>
          <w:tcPr>
            <w:tcW w:type="dxa" w:w="3744"/>
          </w:tcPr>
          <w:p>
            <w:r>
              <w:rPr>
                <w:sz w:val="19"/>
              </w:rPr>
              <w:t>Feature entitlements (not hard-coded)</w:t>
            </w:r>
          </w:p>
        </w:tc>
        <w:tc>
          <w:tcPr>
            <w:tcW w:type="dxa" w:w="4176"/>
          </w:tcPr>
          <w:p>
            <w:r>
              <w:rPr>
                <w:sz w:val="19"/>
              </w:rPr>
              <w:t>Flexible SaaS plan gating</w:t>
            </w:r>
          </w:p>
        </w:tc>
      </w:tr>
    </w:tbl>
    <w:p/>
    <w:p>
      <w:pPr>
        <w:pStyle w:val="Heading1"/>
      </w:pPr>
      <w:r>
        <w:t>12. Document References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rPr>
          <w:tblHeader w:val="true"/>
        </w:trPr>
        <w:tc>
          <w:tcPr>
            <w:tcW w:type="dxa" w:w="2160"/>
            <w:shd w:val="clear" w:color="auto" w:fill="1F4E5F"/>
          </w:tcPr>
          <w:p>
            <w:r>
              <w:rPr>
                <w:b/>
                <w:color w:val="FFFFFF"/>
                <w:sz w:val="19"/>
              </w:rPr>
              <w:t>Document</w:t>
            </w:r>
          </w:p>
        </w:tc>
        <w:tc>
          <w:tcPr>
            <w:tcW w:type="dxa" w:w="6768"/>
            <w:shd w:val="clear" w:color="auto" w:fill="1F4E5F"/>
          </w:tcPr>
          <w:p>
            <w:r>
              <w:rPr>
                <w:b/>
                <w:color w:val="FFFFFF"/>
                <w:sz w:val="19"/>
              </w:rPr>
              <w:t>Title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DOC-001</w:t>
            </w:r>
          </w:p>
        </w:tc>
        <w:tc>
          <w:tcPr>
            <w:tcW w:type="dxa" w:w="6768"/>
          </w:tcPr>
          <w:p>
            <w:r>
              <w:rPr>
                <w:sz w:val="19"/>
              </w:rPr>
              <w:t>Product Requirements Document</w:t>
            </w:r>
          </w:p>
        </w:tc>
      </w:tr>
      <w:tr>
        <w:tc>
          <w:tcPr>
            <w:tcW w:type="dxa" w:w="2160"/>
            <w:shd w:val="clear" w:color="auto" w:fill="EAF1F3"/>
          </w:tcPr>
          <w:p>
            <w:r>
              <w:rPr>
                <w:sz w:val="19"/>
              </w:rPr>
              <w:t>DOC-002</w:t>
            </w:r>
          </w:p>
        </w:tc>
        <w:tc>
          <w:tcPr>
            <w:tcW w:type="dxa" w:w="6768"/>
            <w:shd w:val="clear" w:color="auto" w:fill="EAF1F3"/>
          </w:tcPr>
          <w:p>
            <w:r>
              <w:rPr>
                <w:sz w:val="19"/>
              </w:rPr>
              <w:t>Business Requirements Document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DOC-005</w:t>
            </w:r>
          </w:p>
        </w:tc>
        <w:tc>
          <w:tcPr>
            <w:tcW w:type="dxa" w:w="6768"/>
          </w:tcPr>
          <w:p>
            <w:r>
              <w:rPr>
                <w:sz w:val="19"/>
              </w:rPr>
              <w:t>Database Design Document</w:t>
            </w:r>
          </w:p>
        </w:tc>
      </w:tr>
      <w:tr>
        <w:tc>
          <w:tcPr>
            <w:tcW w:type="dxa" w:w="2160"/>
            <w:shd w:val="clear" w:color="auto" w:fill="EAF1F3"/>
          </w:tcPr>
          <w:p>
            <w:r>
              <w:rPr>
                <w:sz w:val="19"/>
              </w:rPr>
              <w:t>DOC-007</w:t>
            </w:r>
          </w:p>
        </w:tc>
        <w:tc>
          <w:tcPr>
            <w:tcW w:type="dxa" w:w="6768"/>
            <w:shd w:val="clear" w:color="auto" w:fill="EAF1F3"/>
          </w:tcPr>
          <w:p>
            <w:r>
              <w:rPr>
                <w:sz w:val="19"/>
              </w:rPr>
              <w:t>RBAC Permission Matrix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DOC-010</w:t>
            </w:r>
          </w:p>
        </w:tc>
        <w:tc>
          <w:tcPr>
            <w:tcW w:type="dxa" w:w="6768"/>
          </w:tcPr>
          <w:p>
            <w:r>
              <w:rPr>
                <w:sz w:val="19"/>
              </w:rPr>
              <w:t>Security Design Document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 w:eastAsia="Calibri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1F4E5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1F4E5F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2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E07B2E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