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5F"/>
          <w:sz w:val="80"/>
        </w:rPr>
        <w:t>GYMOS</w:t>
      </w:r>
    </w:p>
    <w:p>
      <w:pPr>
        <w:jc w:val="center"/>
      </w:pPr>
      <w:r>
        <w:rPr>
          <w:b/>
          <w:color w:val="E07B2E"/>
          <w:sz w:val="44"/>
        </w:rPr>
        <w:t>DOC-010</w:t>
      </w:r>
    </w:p>
    <w:p>
      <w:pPr>
        <w:jc w:val="center"/>
      </w:pPr>
      <w:r>
        <w:rPr>
          <w:b/>
          <w:color w:val="222222"/>
          <w:sz w:val="48"/>
        </w:rPr>
        <w:t>Security Design Document</w:t>
      </w:r>
    </w:p>
    <w:p>
      <w:pPr>
        <w:jc w:val="center"/>
      </w:pPr>
      <w:r>
        <w:rPr>
          <w:color w:val="595959"/>
          <w:sz w:val="26"/>
        </w:rPr>
        <w:t>GymOS — Authentication, Authorization, Tenant Isolation, Secrets, Files, Payments</w:t>
      </w:r>
    </w:p>
    <w:p/>
    <w:p/>
    <w:p/>
    <w:p/>
    <w:p/>
    <w:p/>
    <w:p/>
    <w:p/>
    <w:p>
      <w:pPr>
        <w:jc w:val="center"/>
      </w:pPr>
      <w:r>
        <w:rPr>
          <w:b/>
          <w:color w:val="1F4E5F"/>
        </w:rPr>
        <w:t xml:space="preserve">Document ID:  </w:t>
      </w:r>
      <w:r>
        <w:rPr>
          <w:color w:val="222222"/>
        </w:rPr>
        <w:t>DOC-010</w:t>
      </w:r>
    </w:p>
    <w:p>
      <w:pPr>
        <w:jc w:val="center"/>
      </w:pPr>
      <w:r>
        <w:rPr>
          <w:b/>
          <w:color w:val="1F4E5F"/>
        </w:rPr>
        <w:t xml:space="preserve">Version:  </w:t>
      </w:r>
      <w:r>
        <w:rPr>
          <w:color w:val="222222"/>
        </w:rPr>
        <w:t>1.0</w:t>
      </w:r>
    </w:p>
    <w:p>
      <w:pPr>
        <w:jc w:val="center"/>
      </w:pPr>
      <w:r>
        <w:rPr>
          <w:b/>
          <w:color w:val="1F4E5F"/>
        </w:rPr>
        <w:t xml:space="preserve">Status:  </w:t>
      </w:r>
      <w:r>
        <w:rPr>
          <w:color w:val="222222"/>
        </w:rPr>
        <w:t>Draft</w:t>
      </w:r>
    </w:p>
    <w:p>
      <w:pPr>
        <w:jc w:val="center"/>
      </w:pPr>
      <w:r>
        <w:rPr>
          <w:b/>
          <w:color w:val="1F4E5F"/>
        </w:rPr>
        <w:t xml:space="preserve">Author:  </w:t>
      </w:r>
      <w:r>
        <w:rPr>
          <w:color w:val="222222"/>
        </w:rPr>
        <w:t>GymOS Security Engineering</w:t>
      </w:r>
    </w:p>
    <w:p>
      <w:pPr>
        <w:jc w:val="center"/>
      </w:pPr>
      <w:r>
        <w:rPr>
          <w:b/>
          <w:color w:val="1F4E5F"/>
        </w:rPr>
        <w:t xml:space="preserve">Date:  </w:t>
      </w:r>
      <w:r>
        <w:rPr>
          <w:color w:val="222222"/>
        </w:rPr>
        <w:t>2026-09-02</w:t>
      </w:r>
    </w:p>
    <w:p>
      <w:pPr>
        <w:jc w:val="center"/>
      </w:pPr>
      <w:r>
        <w:rPr>
          <w:b/>
          <w:color w:val="1F4E5F"/>
        </w:rPr>
        <w:t xml:space="preserve">Classification:  </w:t>
      </w:r>
      <w:r>
        <w:rPr>
          <w:color w:val="222222"/>
        </w:rPr>
        <w:t>Internal / Confidential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 and Scope</w:t>
      </w:r>
    </w:p>
    <w:p>
      <w:r>
        <w:t>Security is a first-class requirement of GymOS. This document defines the security design across authentication, authorization (RBAC + tenant isolation), secrets management, file security, payment security, and operational security. It complements DOC-004 (System Architecture) and DOC-007 (RBAC Matrix).</w:t>
      </w:r>
    </w:p>
    <w:p>
      <w:pPr>
        <w:pStyle w:val="Heading2"/>
      </w:pPr>
      <w:r>
        <w:t>1.2 Security Principles</w:t>
      </w:r>
    </w:p>
    <w:p>
      <w:pPr>
        <w:pStyle w:val="ListBullet"/>
      </w:pPr>
      <w:r>
        <w:t>Defense in depth — security at transport, application, data, and infrastructure layers.</w:t>
      </w:r>
    </w:p>
    <w:p>
      <w:pPr>
        <w:pStyle w:val="ListBullet"/>
      </w:pPr>
      <w:r>
        <w:t>Least privilege — users get only the access they need.</w:t>
      </w:r>
    </w:p>
    <w:p>
      <w:pPr>
        <w:pStyle w:val="ListBullet"/>
      </w:pPr>
      <w:r>
        <w:t>Tenant isolation is enforced at the backend; never rely on frontend filtering.</w:t>
      </w:r>
    </w:p>
    <w:p>
      <w:pPr>
        <w:pStyle w:val="ListBullet"/>
      </w:pPr>
      <w:r>
        <w:t>Never trust the client — validate everything server-side.</w:t>
      </w:r>
    </w:p>
    <w:p>
      <w:pPr>
        <w:pStyle w:val="ListBullet"/>
      </w:pPr>
      <w:r>
        <w:t>Secrets are never committed or hard-coded.</w:t>
      </w:r>
    </w:p>
    <w:p>
      <w:pPr>
        <w:pStyle w:val="ListBullet"/>
      </w:pPr>
      <w:r>
        <w:t>Sensitive data is never logged.</w:t>
      </w:r>
    </w:p>
    <w:p>
      <w:pPr>
        <w:pStyle w:val="ListBullet"/>
      </w:pPr>
      <w:r>
        <w:t>Fail closed — deny by default, grant explicitly.</w:t>
      </w:r>
    </w:p>
    <w:p>
      <w:pPr>
        <w:pStyle w:val="Heading1"/>
      </w:pPr>
      <w:r>
        <w:t>2. Authentication</w:t>
      </w:r>
    </w:p>
    <w:p>
      <w:pPr>
        <w:pStyle w:val="Heading2"/>
      </w:pPr>
      <w:r>
        <w:t>2.1 Identity</w:t>
      </w:r>
    </w:p>
    <w:p>
      <w:pPr>
        <w:pStyle w:val="ListBullet"/>
      </w:pPr>
      <w:r>
        <w:t>Custom Django User model (email-based identity).</w:t>
      </w:r>
    </w:p>
    <w:p>
      <w:pPr>
        <w:pStyle w:val="ListBullet"/>
      </w:pPr>
      <w:r>
        <w:t>Secure password hashing (e.g., Argon2id or PBKDF2 with high iteration count).</w:t>
      </w:r>
    </w:p>
    <w:p>
      <w:pPr>
        <w:pStyle w:val="ListBullet"/>
      </w:pPr>
      <w:r>
        <w:t>No plaintext passwords stored anywhere.</w:t>
      </w:r>
    </w:p>
    <w:p>
      <w:pPr>
        <w:pStyle w:val="ListBullet"/>
      </w:pPr>
      <w:r>
        <w:t>Account activation/deactivation; optional email/phone verification.</w:t>
      </w:r>
    </w:p>
    <w:p>
      <w:pPr>
        <w:pStyle w:val="ListBullet"/>
      </w:pPr>
      <w:r>
        <w:t>Password reset via secure, expiring, single-use tokens.</w:t>
      </w:r>
    </w:p>
    <w:p>
      <w:pPr>
        <w:pStyle w:val="Heading2"/>
      </w:pPr>
      <w:r>
        <w:t>2.2 Session and Token Strategy</w:t>
      </w:r>
    </w:p>
    <w:p>
      <w:pPr>
        <w:pStyle w:val="ListBullet"/>
      </w:pPr>
      <w:r>
        <w:t>JWT access + refresh tokens for API authentication.</w:t>
      </w:r>
    </w:p>
    <w:p>
      <w:pPr>
        <w:pStyle w:val="ListBullet"/>
      </w:pPr>
      <w:r>
        <w:t>Short-lived access tokens; refresh tokens rotated and revocable on logout/password change.</w:t>
      </w:r>
    </w:p>
    <w:p>
      <w:pPr>
        <w:pStyle w:val="ListBullet"/>
      </w:pPr>
      <w:r>
        <w:t>Store tokens securely (HttpOnly cookies where applicable, or secure client storage); never in localStorage for sensitive contexts without compensating controls.</w:t>
      </w:r>
    </w:p>
    <w:p>
      <w:pPr>
        <w:pStyle w:val="ListBullet"/>
      </w:pPr>
      <w:r>
        <w:t>Token revocation on logout, password reset, and account deactivation.</w:t>
      </w:r>
    </w:p>
    <w:p>
      <w:pPr>
        <w:pStyle w:val="Heading2"/>
      </w:pPr>
      <w:r>
        <w:t>2.3 Brute-Force and Abuse Controls</w:t>
      </w:r>
    </w:p>
    <w:p>
      <w:pPr>
        <w:pStyle w:val="ListBullet"/>
      </w:pPr>
      <w:r>
        <w:t>Rate limiting on auth endpoints (login, password reset, OTP/verification).</w:t>
      </w:r>
    </w:p>
    <w:p>
      <w:pPr>
        <w:pStyle w:val="ListBullet"/>
      </w:pPr>
      <w:r>
        <w:t>Account lockout / exponential backoff after repeated failures.</w:t>
      </w:r>
    </w:p>
    <w:p>
      <w:pPr>
        <w:pStyle w:val="ListBullet"/>
      </w:pPr>
      <w:r>
        <w:t>Monitor authentication failures (see DOC-004 observability).</w:t>
      </w:r>
    </w:p>
    <w:p>
      <w:pPr>
        <w:pStyle w:val="Heading1"/>
      </w:pPr>
      <w:r>
        <w:t>3. Authorization</w:t>
      </w:r>
    </w:p>
    <w:p>
      <w:pPr>
        <w:pStyle w:val="Heading2"/>
      </w:pPr>
      <w:r>
        <w:t>3.1 RBAC</w:t>
      </w:r>
    </w:p>
    <w:p>
      <w:r>
        <w:t>Authorization follows the RBAC model defined in DOC-007: User + Role + Tenant + Branch + Resource + Permission. The backend applies the role-permission check and the data scope on every request.</w:t>
      </w:r>
    </w:p>
    <w:p>
      <w:pPr>
        <w:pStyle w:val="Heading2"/>
      </w:pPr>
      <w:r>
        <w:t>3.2 Tenant Isolation</w:t>
      </w:r>
    </w:p>
    <w:p>
      <w:pPr>
        <w:pStyle w:val="ListBullet"/>
      </w:pPr>
      <w:r>
        <w:t>Every tenant-owned resource is scoped by tenant_id (or derived via parent).</w:t>
      </w:r>
    </w:p>
    <w:p>
      <w:pPr>
        <w:pStyle w:val="ListBullet"/>
      </w:pPr>
      <w:r>
        <w:t>The data-access layer scopes all queries to the current tenant.</w:t>
      </w:r>
    </w:p>
    <w:p>
      <w:pPr>
        <w:pStyle w:val="ListBullet"/>
      </w:pPr>
      <w:r>
        <w:t>Super Admin does not auto-access tenant data; any explicit access is audited.</w:t>
      </w:r>
    </w:p>
    <w:p>
      <w:pPr>
        <w:pStyle w:val="ListBullet"/>
      </w:pPr>
      <w:r>
        <w:t>Branch-level isolation via user_branch_access.</w:t>
      </w:r>
    </w:p>
    <w:p>
      <w:pPr>
        <w:pStyle w:val="ListBullet"/>
      </w:pPr>
      <w:r>
        <w:t>Dedicated tenant-isolation tests: Gym A user cannot access Gym B data; Branch A manager cannot access Branch B; Trainer A cannot access Trainer B's unauthorized members.</w:t>
      </w:r>
    </w:p>
    <w:p>
      <w:pPr>
        <w:pStyle w:val="Heading1"/>
      </w:pPr>
      <w:r>
        <w:t>4. Transport Security (TLS)</w:t>
      </w:r>
    </w:p>
    <w:p>
      <w:pPr>
        <w:pStyle w:val="ListBullet"/>
      </w:pPr>
      <w:r>
        <w:t>All traffic over HTTPS/TLS in production.</w:t>
      </w:r>
    </w:p>
    <w:p>
      <w:pPr>
        <w:pStyle w:val="ListBullet"/>
      </w:pPr>
      <w:r>
        <w:t>HSTS (HTTP Strict Transport Security) enabled.</w:t>
      </w:r>
    </w:p>
    <w:p>
      <w:pPr>
        <w:pStyle w:val="ListBullet"/>
      </w:pPr>
      <w:r>
        <w:t>Secure cookies (Secure, HttpOnly, SameSite) where used.</w:t>
      </w:r>
    </w:p>
    <w:p>
      <w:pPr>
        <w:pStyle w:val="ListBullet"/>
      </w:pPr>
      <w:r>
        <w:t>No mixed content; frontend only calls HTTPS APIs.</w:t>
      </w:r>
    </w:p>
    <w:p>
      <w:pPr>
        <w:pStyle w:val="Heading1"/>
      </w:pPr>
      <w:r>
        <w:t>5. Input Validation and Injection Prevention</w:t>
      </w:r>
    </w:p>
    <w:p>
      <w:pPr>
        <w:pStyle w:val="ListBullet"/>
      </w:pPr>
      <w:r>
        <w:t>Validate and sanitize all input server-side (Django forms/serializers/validators).</w:t>
      </w:r>
    </w:p>
    <w:p>
      <w:pPr>
        <w:pStyle w:val="ListBullet"/>
      </w:pPr>
      <w:r>
        <w:t>Parameterized queries / ORM to prevent SQL injection.</w:t>
      </w:r>
    </w:p>
    <w:p>
      <w:pPr>
        <w:pStyle w:val="ListBullet"/>
      </w:pPr>
      <w:r>
        <w:t>Escape output to prevent XSS; use React's default escaping.</w:t>
      </w:r>
    </w:p>
    <w:p>
      <w:pPr>
        <w:pStyle w:val="ListBullet"/>
      </w:pPr>
      <w:r>
        <w:t>CSRF protection where applicable (state-changing requests).</w:t>
      </w:r>
    </w:p>
    <w:p>
      <w:pPr>
        <w:pStyle w:val="ListBullet"/>
      </w:pPr>
      <w:r>
        <w:t>Consistent error responses — never expose stack traces or internal DB errors.</w:t>
      </w:r>
    </w:p>
    <w:p>
      <w:pPr>
        <w:pStyle w:val="ListBullet"/>
      </w:pPr>
      <w:r>
        <w:t>Use the standard error envelope: code, message, details.</w:t>
      </w:r>
    </w:p>
    <w:p>
      <w:pPr>
        <w:pStyle w:val="Heading1"/>
      </w:pPr>
      <w:r>
        <w:t>6. Web and API Hardening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448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Control</w:t>
            </w:r>
          </w:p>
        </w:tc>
        <w:tc>
          <w:tcPr>
            <w:tcW w:type="dxa" w:w="6480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Implementation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CORS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Restrict allowed origins to known frontend(s); do not use wildcard with credentials</w:t>
            </w:r>
          </w:p>
        </w:tc>
      </w:tr>
      <w:tr>
        <w:tc>
          <w:tcPr>
            <w:tcW w:type="dxa" w:w="2448"/>
            <w:shd w:val="clear" w:color="auto" w:fill="EAF1F3"/>
          </w:tcPr>
          <w:p>
            <w:r>
              <w:rPr>
                <w:sz w:val="19"/>
              </w:rPr>
              <w:t>Secure headers</w:t>
            </w:r>
          </w:p>
        </w:tc>
        <w:tc>
          <w:tcPr>
            <w:tcW w:type="dxa" w:w="6480"/>
            <w:shd w:val="clear" w:color="auto" w:fill="EAF1F3"/>
          </w:tcPr>
          <w:p>
            <w:r>
              <w:rPr>
                <w:sz w:val="19"/>
              </w:rPr>
              <w:t>Content-Security-Policy, X-Content-Type-Options, X-Frame-Options, Referrer-Policy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Rate limiting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Per-user and per-IP limits on sensitive endpoints</w:t>
            </w:r>
          </w:p>
        </w:tc>
      </w:tr>
      <w:tr>
        <w:tc>
          <w:tcPr>
            <w:tcW w:type="dxa" w:w="2448"/>
            <w:shd w:val="clear" w:color="auto" w:fill="EAF1F3"/>
          </w:tcPr>
          <w:p>
            <w:r>
              <w:rPr>
                <w:sz w:val="19"/>
              </w:rPr>
              <w:t>Request size</w:t>
            </w:r>
          </w:p>
        </w:tc>
        <w:tc>
          <w:tcPr>
            <w:tcW w:type="dxa" w:w="6480"/>
            <w:shd w:val="clear" w:color="auto" w:fill="EAF1F3"/>
          </w:tcPr>
          <w:p>
            <w:r>
              <w:rPr>
                <w:sz w:val="19"/>
              </w:rPr>
              <w:t>Limit body/file sizes to prevent abuse</w:t>
            </w:r>
          </w:p>
        </w:tc>
      </w:tr>
      <w:tr>
        <w:tc>
          <w:tcPr>
            <w:tcW w:type="dxa" w:w="2448"/>
          </w:tcPr>
          <w:p>
            <w:r>
              <w:rPr>
                <w:sz w:val="19"/>
              </w:rPr>
              <w:t>Pagination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Server-side pagination to avoid large data leaks</w:t>
            </w:r>
          </w:p>
        </w:tc>
      </w:tr>
      <w:tr>
        <w:tc>
          <w:tcPr>
            <w:tcW w:type="dxa" w:w="2448"/>
            <w:shd w:val="clear" w:color="auto" w:fill="EAF1F3"/>
          </w:tcPr>
          <w:p>
            <w:r>
              <w:rPr>
                <w:sz w:val="19"/>
              </w:rPr>
              <w:t>HTTP methods</w:t>
            </w:r>
          </w:p>
        </w:tc>
        <w:tc>
          <w:tcPr>
            <w:tcW w:type="dxa" w:w="6480"/>
            <w:shd w:val="clear" w:color="auto" w:fill="EAF1F3"/>
          </w:tcPr>
          <w:p>
            <w:r>
              <w:rPr>
                <w:sz w:val="19"/>
              </w:rPr>
              <w:t>Restrict to needed methods; deny unsafe methods where not used</w:t>
            </w:r>
          </w:p>
        </w:tc>
      </w:tr>
    </w:tbl>
    <w:p/>
    <w:p>
      <w:pPr>
        <w:pStyle w:val="Heading1"/>
      </w:pPr>
      <w:r>
        <w:t>7. Secrets Management</w:t>
      </w:r>
    </w:p>
    <w:p>
      <w:pPr>
        <w:pStyle w:val="ListBullet"/>
      </w:pPr>
      <w:r>
        <w:t>Never commit .env, API keys, database passwords, JWT secrets, or cloud credentials.</w:t>
      </w:r>
    </w:p>
    <w:p>
      <w:pPr>
        <w:pStyle w:val="ListBullet"/>
      </w:pPr>
      <w:r>
        <w:t>Use environment variables / a managed secret store in production.</w:t>
      </w:r>
    </w:p>
    <w:p>
      <w:pPr>
        <w:pStyle w:val="ListBullet"/>
      </w:pPr>
      <w:r>
        <w:t>Rotate secrets regularly; separate dev/staging/production secrets.</w:t>
      </w:r>
    </w:p>
    <w:p>
      <w:pPr>
        <w:pStyle w:val="ListBullet"/>
      </w:pPr>
      <w:r>
        <w:t>Restrict access to secrets to authorized engineers and systems.</w:t>
      </w:r>
    </w:p>
    <w:p>
      <w:pPr>
        <w:pStyle w:val="ListBullet"/>
      </w:pPr>
      <w:r>
        <w:t>Add secrets scanning to CI and pre-commit.</w:t>
      </w:r>
    </w:p>
    <w:p>
      <w:pPr>
        <w:pStyle w:val="Heading1"/>
      </w:pPr>
      <w:r>
        <w:t>8. File Security</w:t>
      </w:r>
    </w:p>
    <w:p>
      <w:pPr>
        <w:pStyle w:val="ListBullet"/>
      </w:pPr>
      <w:r>
        <w:t>Store user files in private object storage (AWS S3) — never public by default.</w:t>
      </w:r>
    </w:p>
    <w:p>
      <w:pPr>
        <w:pStyle w:val="ListBullet"/>
      </w:pPr>
      <w:r>
        <w:t>Validate file type (allowlist), size, and sanitize file names.</w:t>
      </w:r>
    </w:p>
    <w:p>
      <w:pPr>
        <w:pStyle w:val="ListBullet"/>
      </w:pPr>
      <w:r>
        <w:t>Serve private files only through authorization-gated endpoints / signed URLs.</w:t>
      </w:r>
    </w:p>
    <w:p>
      <w:pPr>
        <w:pStyle w:val="ListBullet"/>
      </w:pPr>
      <w:r>
        <w:t>Scan uploads for malware where applicable (future hardening).</w:t>
      </w:r>
    </w:p>
    <w:p>
      <w:pPr>
        <w:pStyle w:val="ListBullet"/>
      </w:pPr>
      <w:r>
        <w:t>File types: profile images, gym logos, transformation photos, documents.</w:t>
      </w:r>
    </w:p>
    <w:p>
      <w:pPr>
        <w:pStyle w:val="Heading1"/>
      </w:pPr>
      <w:r>
        <w:t>9. Payment Security</w:t>
      </w:r>
    </w:p>
    <w:p>
      <w:pPr>
        <w:pStyle w:val="ListBullet"/>
      </w:pPr>
      <w:r>
        <w:t>Online payments via Razorpay (verified).</w:t>
      </w:r>
    </w:p>
    <w:p>
      <w:pPr>
        <w:pStyle w:val="ListBullet"/>
      </w:pPr>
      <w:r>
        <w:t>Webhook signature verification — never trust the frontend to confirm a payment.</w:t>
      </w:r>
    </w:p>
    <w:p>
      <w:pPr>
        <w:pStyle w:val="ListBullet"/>
      </w:pPr>
      <w:r>
        <w:t>Store only the minimum payment metadata; do not store raw card data (PCI).</w:t>
      </w:r>
    </w:p>
    <w:p>
      <w:pPr>
        <w:pStyle w:val="ListBullet"/>
      </w:pPr>
      <w:r>
        <w:t>Decimal-safe monetary types; reconcile via transaction IDs.</w:t>
      </w:r>
    </w:p>
    <w:p>
      <w:pPr>
        <w:pStyle w:val="ListBullet"/>
      </w:pPr>
      <w:r>
        <w:t>Payment failures and webhooks are monitored and audited.</w:t>
      </w:r>
    </w:p>
    <w:p>
      <w:pPr>
        <w:pStyle w:val="ListBullet"/>
      </w:pPr>
      <w:r>
        <w:t>Refunds are permission-controlled and audited.</w:t>
      </w:r>
    </w:p>
    <w:p>
      <w:pPr>
        <w:pStyle w:val="Heading1"/>
      </w:pPr>
      <w:r>
        <w:t>10. Audit Logging</w:t>
      </w:r>
    </w:p>
    <w:p>
      <w:pPr>
        <w:pStyle w:val="ListBullet"/>
      </w:pPr>
      <w:r>
        <w:t>Audit important actions: login/logout, member created/modified, membership created, payment recorded, trainer assigned, role changed, settings changed, subscription changed.</w:t>
      </w:r>
    </w:p>
    <w:p>
      <w:pPr>
        <w:pStyle w:val="ListBullet"/>
      </w:pPr>
      <w:r>
        <w:t>Capture: actor, tenant, branch (where relevant), action, entity, entity ID, timestamp, metadata, IP/device where appropriate.</w:t>
      </w:r>
    </w:p>
    <w:p>
      <w:pPr>
        <w:pStyle w:val="ListBullet"/>
      </w:pPr>
      <w:r>
        <w:t>Audit logs are append-only and tamper-evident.</w:t>
      </w:r>
    </w:p>
    <w:p>
      <w:pPr>
        <w:pStyle w:val="ListBullet"/>
      </w:pPr>
      <w:r>
        <w:t>Never log passwords, tokens, or secrets.</w:t>
      </w:r>
    </w:p>
    <w:p>
      <w:pPr>
        <w:pStyle w:val="Heading1"/>
      </w:pPr>
      <w:r>
        <w:t>11. Background Jobs and Queues</w:t>
      </w:r>
    </w:p>
    <w:p>
      <w:pPr>
        <w:pStyle w:val="ListBullet"/>
      </w:pPr>
      <w:r>
        <w:t>Celery/Redis used for async work; jobs must be idempotent where appropriate.</w:t>
      </w:r>
    </w:p>
    <w:p>
      <w:pPr>
        <w:pStyle w:val="ListBullet"/>
      </w:pPr>
      <w:r>
        <w:t>Validate job payloads; never embed secrets in queue messages.</w:t>
      </w:r>
    </w:p>
    <w:p>
      <w:pPr>
        <w:pStyle w:val="ListBullet"/>
      </w:pPr>
      <w:r>
        <w:t>Restrict broker access to the application network.</w:t>
      </w:r>
    </w:p>
    <w:p>
      <w:pPr>
        <w:pStyle w:val="Heading1"/>
      </w:pPr>
      <w:r>
        <w:t>12. Dependency and Supply-Chain Security</w:t>
      </w:r>
    </w:p>
    <w:p>
      <w:pPr>
        <w:pStyle w:val="ListBullet"/>
      </w:pPr>
      <w:r>
        <w:t>Maintain and update dependencies (pip/npm) with known-vulnerability scanning.</w:t>
      </w:r>
    </w:p>
    <w:p>
      <w:pPr>
        <w:pStyle w:val="ListBullet"/>
      </w:pPr>
      <w:r>
        <w:t>Pin/review critical dependencies; use lockfiles.</w:t>
      </w:r>
    </w:p>
    <w:p>
      <w:pPr>
        <w:pStyle w:val="ListBullet"/>
      </w:pPr>
      <w:r>
        <w:t>Run dependency audits in CI (e.g., pip-audit, npm audit).</w:t>
      </w:r>
    </w:p>
    <w:p>
      <w:pPr>
        <w:pStyle w:val="Heading1"/>
      </w:pPr>
      <w:r>
        <w:t>13. Operational and Infrastructure Security</w:t>
      </w:r>
    </w:p>
    <w:p>
      <w:pPr>
        <w:pStyle w:val="ListBullet"/>
      </w:pPr>
      <w:r>
        <w:t>Least-privilege IAM roles for cloud services and object storage.</w:t>
      </w:r>
    </w:p>
    <w:p>
      <w:pPr>
        <w:pStyle w:val="ListBullet"/>
      </w:pPr>
      <w:r>
        <w:t>Network segmentation: database and Redis not publicly exposed.</w:t>
      </w:r>
    </w:p>
    <w:p>
      <w:pPr>
        <w:pStyle w:val="ListBullet"/>
      </w:pPr>
      <w:r>
        <w:t>Automated backups with retention and tested restoration.</w:t>
      </w:r>
    </w:p>
    <w:p>
      <w:pPr>
        <w:pStyle w:val="ListBullet"/>
      </w:pPr>
      <w:r>
        <w:t>Monitoring of API latency, errors, DB performance, payment failures, auth failures, and queue failures.</w:t>
      </w:r>
    </w:p>
    <w:p>
      <w:pPr>
        <w:pStyle w:val="ListBullet"/>
      </w:pPr>
      <w:r>
        <w:t>Structured logging; never log secrets.</w:t>
      </w:r>
    </w:p>
    <w:p>
      <w:pPr>
        <w:pStyle w:val="ListBullet"/>
      </w:pPr>
      <w:r>
        <w:t>Incident response for security events (see DOC-016).</w:t>
      </w:r>
    </w:p>
    <w:p>
      <w:pPr>
        <w:pStyle w:val="ListBullet"/>
      </w:pPr>
      <w:r>
        <w:t>DevOps: CI/CD with security checks, separate environments (dev/test/staging/prod).</w:t>
      </w:r>
    </w:p>
    <w:p>
      <w:pPr>
        <w:pStyle w:val="Heading1"/>
      </w:pPr>
      <w:r>
        <w:t>14. Security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880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Test Type</w:t>
            </w:r>
          </w:p>
        </w:tc>
        <w:tc>
          <w:tcPr>
            <w:tcW w:type="dxa" w:w="6048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Focus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Permission tests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RBAC matrix is enforced (DOC-007)</w:t>
            </w:r>
          </w:p>
        </w:tc>
      </w:tr>
      <w:tr>
        <w:tc>
          <w:tcPr>
            <w:tcW w:type="dxa" w:w="2880"/>
            <w:shd w:val="clear" w:color="auto" w:fill="EAF1F3"/>
          </w:tcPr>
          <w:p>
            <w:r>
              <w:rPr>
                <w:sz w:val="19"/>
              </w:rPr>
              <w:t>Tenant-isolation tests</w:t>
            </w:r>
          </w:p>
        </w:tc>
        <w:tc>
          <w:tcPr>
            <w:tcW w:type="dxa" w:w="6048"/>
            <w:shd w:val="clear" w:color="auto" w:fill="EAF1F3"/>
          </w:tcPr>
          <w:p>
            <w:r>
              <w:rPr>
                <w:sz w:val="19"/>
              </w:rPr>
              <w:t>Cross-gym, cross-branch, cross-trainer access denied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Auth tests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Login, token expiry/revocation, brute-force controls</w:t>
            </w:r>
          </w:p>
        </w:tc>
      </w:tr>
      <w:tr>
        <w:tc>
          <w:tcPr>
            <w:tcW w:type="dxa" w:w="2880"/>
            <w:shd w:val="clear" w:color="auto" w:fill="EAF1F3"/>
          </w:tcPr>
          <w:p>
            <w:r>
              <w:rPr>
                <w:sz w:val="19"/>
              </w:rPr>
              <w:t>Input/validation tests</w:t>
            </w:r>
          </w:p>
        </w:tc>
        <w:tc>
          <w:tcPr>
            <w:tcW w:type="dxa" w:w="6048"/>
            <w:shd w:val="clear" w:color="auto" w:fill="EAF1F3"/>
          </w:tcPr>
          <w:p>
            <w:r>
              <w:rPr>
                <w:sz w:val="19"/>
              </w:rPr>
              <w:t>Injection, XSS, malformed input handling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Payment tests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Webhook verification, failed/refund flows</w:t>
            </w:r>
          </w:p>
        </w:tc>
      </w:tr>
      <w:tr>
        <w:tc>
          <w:tcPr>
            <w:tcW w:type="dxa" w:w="2880"/>
            <w:shd w:val="clear" w:color="auto" w:fill="EAF1F3"/>
          </w:tcPr>
          <w:p>
            <w:r>
              <w:rPr>
                <w:sz w:val="19"/>
              </w:rPr>
              <w:t>Dependency audit</w:t>
            </w:r>
          </w:p>
        </w:tc>
        <w:tc>
          <w:tcPr>
            <w:tcW w:type="dxa" w:w="6048"/>
            <w:shd w:val="clear" w:color="auto" w:fill="EAF1F3"/>
          </w:tcPr>
          <w:p>
            <w:r>
              <w:rPr>
                <w:sz w:val="19"/>
              </w:rPr>
              <w:t>Known-vulnerability scanning in CI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Secrets scan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No secrets in repository</w:t>
            </w:r>
          </w:p>
        </w:tc>
      </w:tr>
      <w:tr>
        <w:tc>
          <w:tcPr>
            <w:tcW w:type="dxa" w:w="2880"/>
            <w:shd w:val="clear" w:color="auto" w:fill="EAF1F3"/>
          </w:tcPr>
          <w:p>
            <w:r>
              <w:rPr>
                <w:sz w:val="19"/>
              </w:rPr>
              <w:t>Penetration testing</w:t>
            </w:r>
          </w:p>
        </w:tc>
        <w:tc>
          <w:tcPr>
            <w:tcW w:type="dxa" w:w="6048"/>
            <w:shd w:val="clear" w:color="auto" w:fill="EAF1F3"/>
          </w:tcPr>
          <w:p>
            <w:r>
              <w:rPr>
                <w:sz w:val="19"/>
              </w:rPr>
              <w:t>Pre-production / periodic review</w:t>
            </w:r>
          </w:p>
        </w:tc>
      </w:tr>
    </w:tbl>
    <w:p/>
    <w:p>
      <w:pPr>
        <w:pStyle w:val="Heading1"/>
      </w:pPr>
      <w:r>
        <w:t>15. Security Incidents</w:t>
      </w:r>
    </w:p>
    <w:p>
      <w:pPr>
        <w:pStyle w:val="ListBullet"/>
      </w:pPr>
      <w:r>
        <w:t>Reported and triaged per the Incident Response plan (DOC-016).</w:t>
      </w:r>
    </w:p>
    <w:p>
      <w:pPr>
        <w:pStyle w:val="ListBullet"/>
      </w:pPr>
      <w:r>
        <w:t>Containment, investigation, remediation, and post-incident review.</w:t>
      </w:r>
    </w:p>
    <w:p>
      <w:pPr>
        <w:pStyle w:val="ListBullet"/>
      </w:pPr>
      <w:r>
        <w:t>Audit trail preserved; affected parties notified per policy.</w:t>
      </w:r>
    </w:p>
    <w:p>
      <w:pPr>
        <w:pStyle w:val="Heading1"/>
      </w:pPr>
      <w:r>
        <w:t>16. Document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160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W w:type="dxa" w:w="6768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DOC-001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Product Requirements Document</w:t>
            </w:r>
          </w:p>
        </w:tc>
      </w:tr>
      <w:tr>
        <w:tc>
          <w:tcPr>
            <w:tcW w:type="dxa" w:w="2160"/>
            <w:shd w:val="clear" w:color="auto" w:fill="EAF1F3"/>
          </w:tcPr>
          <w:p>
            <w:r>
              <w:rPr>
                <w:sz w:val="19"/>
              </w:rPr>
              <w:t>DOC-004</w:t>
            </w:r>
          </w:p>
        </w:tc>
        <w:tc>
          <w:tcPr>
            <w:tcW w:type="dxa" w:w="6768"/>
            <w:shd w:val="clear" w:color="auto" w:fill="EAF1F3"/>
          </w:tcPr>
          <w:p>
            <w:r>
              <w:rPr>
                <w:sz w:val="19"/>
              </w:rPr>
              <w:t>System Architecture Document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DOC-005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Database Design Document</w:t>
            </w:r>
          </w:p>
        </w:tc>
      </w:tr>
      <w:tr>
        <w:tc>
          <w:tcPr>
            <w:tcW w:type="dxa" w:w="2160"/>
            <w:shd w:val="clear" w:color="auto" w:fill="EAF1F3"/>
          </w:tcPr>
          <w:p>
            <w:r>
              <w:rPr>
                <w:sz w:val="19"/>
              </w:rPr>
              <w:t>DOC-007</w:t>
            </w:r>
          </w:p>
        </w:tc>
        <w:tc>
          <w:tcPr>
            <w:tcW w:type="dxa" w:w="6768"/>
            <w:shd w:val="clear" w:color="auto" w:fill="EAF1F3"/>
          </w:tcPr>
          <w:p>
            <w:r>
              <w:rPr>
                <w:sz w:val="19"/>
              </w:rPr>
              <w:t>RBAC Permission Matrix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E07B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