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4E5F"/>
          <w:sz w:val="80"/>
        </w:rPr>
        <w:t>GYMOS</w:t>
      </w:r>
    </w:p>
    <w:p>
      <w:pPr>
        <w:jc w:val="center"/>
      </w:pPr>
      <w:r>
        <w:rPr>
          <w:b/>
          <w:color w:val="E07B2E"/>
          <w:sz w:val="44"/>
        </w:rPr>
        <w:t>DOC-011</w:t>
      </w:r>
    </w:p>
    <w:p>
      <w:pPr>
        <w:jc w:val="center"/>
      </w:pPr>
      <w:r>
        <w:rPr>
          <w:b/>
          <w:color w:val="222222"/>
          <w:sz w:val="48"/>
        </w:rPr>
        <w:t>Coding Standards</w:t>
      </w:r>
    </w:p>
    <w:p>
      <w:pPr>
        <w:jc w:val="center"/>
      </w:pPr>
      <w:r>
        <w:rPr>
          <w:color w:val="595959"/>
          <w:sz w:val="26"/>
        </w:rPr>
        <w:t>GymOS — Python &amp; React Conventions</w:t>
      </w:r>
    </w:p>
    <w:p/>
    <w:p/>
    <w:p/>
    <w:p/>
    <w:p/>
    <w:p/>
    <w:p/>
    <w:p/>
    <w:p>
      <w:pPr>
        <w:jc w:val="center"/>
      </w:pPr>
      <w:r>
        <w:rPr>
          <w:b/>
          <w:color w:val="1F4E5F"/>
        </w:rPr>
        <w:t xml:space="preserve">Document ID:  </w:t>
      </w:r>
      <w:r>
        <w:rPr>
          <w:color w:val="222222"/>
        </w:rPr>
        <w:t>DOC-011</w:t>
      </w:r>
    </w:p>
    <w:p>
      <w:pPr>
        <w:jc w:val="center"/>
      </w:pPr>
      <w:r>
        <w:rPr>
          <w:b/>
          <w:color w:val="1F4E5F"/>
        </w:rPr>
        <w:t xml:space="preserve">Version:  </w:t>
      </w:r>
      <w:r>
        <w:rPr>
          <w:color w:val="222222"/>
        </w:rPr>
        <w:t>1.0</w:t>
      </w:r>
    </w:p>
    <w:p>
      <w:pPr>
        <w:jc w:val="center"/>
      </w:pPr>
      <w:r>
        <w:rPr>
          <w:b/>
          <w:color w:val="1F4E5F"/>
        </w:rPr>
        <w:t xml:space="preserve">Status:  </w:t>
      </w:r>
      <w:r>
        <w:rPr>
          <w:color w:val="222222"/>
        </w:rPr>
        <w:t>Draft</w:t>
      </w:r>
    </w:p>
    <w:p>
      <w:pPr>
        <w:jc w:val="center"/>
      </w:pPr>
      <w:r>
        <w:rPr>
          <w:b/>
          <w:color w:val="1F4E5F"/>
        </w:rPr>
        <w:t xml:space="preserve">Author:  </w:t>
      </w:r>
      <w:r>
        <w:rPr>
          <w:color w:val="222222"/>
        </w:rPr>
        <w:t>GymOS Engineering Team</w:t>
      </w:r>
    </w:p>
    <w:p>
      <w:pPr>
        <w:jc w:val="center"/>
      </w:pPr>
      <w:r>
        <w:rPr>
          <w:b/>
          <w:color w:val="1F4E5F"/>
        </w:rPr>
        <w:t xml:space="preserve">Date:  </w:t>
      </w:r>
      <w:r>
        <w:rPr>
          <w:color w:val="222222"/>
        </w:rPr>
        <w:t>2026-09-02</w:t>
      </w:r>
    </w:p>
    <w:p>
      <w:pPr>
        <w:jc w:val="center"/>
      </w:pPr>
      <w:r>
        <w:rPr>
          <w:b/>
          <w:color w:val="1F4E5F"/>
        </w:rPr>
        <w:t xml:space="preserve">Classification:  </w:t>
      </w:r>
      <w:r>
        <w:rPr>
          <w:color w:val="222222"/>
        </w:rPr>
        <w:t>Internal</w:t>
      </w:r>
    </w:p>
    <w:p>
      <w:r>
        <w:br w:type="page"/>
      </w:r>
    </w:p>
    <w:p>
      <w:pPr>
        <w:pStyle w:val="Heading1"/>
      </w:pPr>
      <w:r>
        <w:t>1. Introduction</w:t>
      </w:r>
    </w:p>
    <w:p>
      <w:pPr>
        <w:pStyle w:val="Heading2"/>
      </w:pPr>
      <w:r>
        <w:t>1.1 Purpose</w:t>
      </w:r>
    </w:p>
    <w:p>
      <w:r>
        <w:t>This document defines coding standards for GymOS across Python (Django backend) and React (frontend). It covers naming, file organization, error handling, comments, and documentation so the codebase remains readable and maintainable.</w:t>
      </w:r>
    </w:p>
    <w:p>
      <w:pPr>
        <w:pStyle w:val="Heading1"/>
      </w:pPr>
      <w:r>
        <w:t>2. General Principles</w:t>
      </w:r>
    </w:p>
    <w:p>
      <w:pPr>
        <w:pStyle w:val="ListBullet"/>
      </w:pPr>
      <w:r>
        <w:t>Prefer readable, maintainable code over cleverness.</w:t>
      </w:r>
    </w:p>
    <w:p>
      <w:pPr>
        <w:pStyle w:val="ListBullet"/>
      </w:pPr>
      <w:r>
        <w:t>Follow the Principle of Least Astonishment.</w:t>
      </w:r>
    </w:p>
    <w:p>
      <w:pPr>
        <w:pStyle w:val="ListBullet"/>
      </w:pPr>
      <w:r>
        <w:t>Do not generate hundreds of lines of code unnecessarily; implement in manageable increments.</w:t>
      </w:r>
    </w:p>
    <w:p>
      <w:pPr>
        <w:pStyle w:val="ListBullet"/>
      </w:pPr>
      <w:r>
        <w:t>Security and tenant isolation are non-negotiable in every change.</w:t>
      </w:r>
    </w:p>
    <w:p>
      <w:pPr>
        <w:pStyle w:val="ListBullet"/>
      </w:pPr>
      <w:r>
        <w:t>Consistency beats individual preference.</w:t>
      </w:r>
    </w:p>
    <w:p>
      <w:pPr>
        <w:pStyle w:val="Heading1"/>
      </w:pPr>
      <w:r>
        <w:t>3. Python / Django Conventions</w:t>
      </w:r>
    </w:p>
    <w:p>
      <w:pPr>
        <w:pStyle w:val="Heading2"/>
      </w:pPr>
      <w:r>
        <w:t>3.1 Style and Linting</w:t>
      </w:r>
    </w:p>
    <w:p>
      <w:pPr>
        <w:pStyle w:val="ListBullet"/>
      </w:pPr>
      <w:r>
        <w:t>Follow PEP 8; use Black-compatible formatting.</w:t>
      </w:r>
    </w:p>
    <w:p>
      <w:pPr>
        <w:pStyle w:val="ListBullet"/>
      </w:pPr>
      <w:r>
        <w:t>Use type hints for function signatures.</w:t>
      </w:r>
    </w:p>
    <w:p>
      <w:pPr>
        <w:pStyle w:val="ListBullet"/>
      </w:pPr>
      <w:r>
        <w:t>Run flake8/ruff and mypy in CI.</w:t>
      </w:r>
    </w:p>
    <w:p>
      <w:pPr>
        <w:pStyle w:val="ListBullet"/>
      </w:pPr>
      <w:r>
        <w:t>Use Django conventions for models, views, and apps.</w:t>
      </w:r>
    </w:p>
    <w:p>
      <w:pPr>
        <w:pStyle w:val="Heading2"/>
      </w:pPr>
      <w:r>
        <w:t>3.2 Naming</w:t>
      </w:r>
    </w:p>
    <w:p>
      <w:pPr>
        <w:pStyle w:val="ListBullet"/>
      </w:pPr>
      <w:r>
        <w:t>Models: PascalCase (MembershipPlan).</w:t>
      </w:r>
    </w:p>
    <w:p>
      <w:pPr>
        <w:pStyle w:val="ListBullet"/>
      </w:pPr>
      <w:r>
        <w:t>Fields: snake_case (start_date).</w:t>
      </w:r>
    </w:p>
    <w:p>
      <w:pPr>
        <w:pStyle w:val="ListBullet"/>
      </w:pPr>
      <w:r>
        <w:t>Functions/methods: snake_case (assign_membership).</w:t>
      </w:r>
    </w:p>
    <w:p>
      <w:pPr>
        <w:pStyle w:val="ListBullet"/>
      </w:pPr>
      <w:r>
        <w:t>Constants: UPPER_SNAKE (GRACE_PERIOD_DAYS).</w:t>
      </w:r>
    </w:p>
    <w:p>
      <w:pPr>
        <w:pStyle w:val="ListBullet"/>
      </w:pPr>
      <w:r>
        <w:t>URL names: lowercase with underscores (member_detail).</w:t>
      </w:r>
    </w:p>
    <w:p>
      <w:pPr>
        <w:pStyle w:val="ListBullet"/>
      </w:pPr>
      <w:r>
        <w:t>Serializer fields: snake_case; map API JSON to camelCase only if required by contract.</w:t>
      </w:r>
    </w:p>
    <w:p>
      <w:pPr>
        <w:pStyle w:val="Heading2"/>
      </w:pPr>
      <w:r>
        <w:t>3.3 File Organization</w:t>
      </w:r>
    </w:p>
    <w:p>
      <w:pPr>
        <w:pStyle w:val="ListBullet"/>
      </w:pPr>
      <w:r>
        <w:t>One logical unit per module; split large models into models/ package.</w:t>
      </w:r>
    </w:p>
    <w:p>
      <w:pPr>
        <w:pStyle w:val="ListBullet"/>
      </w:pPr>
      <w:r>
        <w:t>Keep views thin; move domain logic to services.</w:t>
      </w:r>
    </w:p>
    <w:p>
      <w:pPr>
        <w:pStyle w:val="ListBullet"/>
      </w:pPr>
      <w:r>
        <w:t>Keep migrations with the app that owns the models.</w:t>
      </w:r>
    </w:p>
    <w:p>
      <w:pPr>
        <w:pStyle w:val="Heading2"/>
      </w:pPr>
      <w:r>
        <w:t>3.4 Error Handling</w:t>
      </w:r>
    </w:p>
    <w:p>
      <w:pPr>
        <w:pStyle w:val="ListBullet"/>
      </w:pPr>
      <w:r>
        <w:t>Use exceptions for control flow that must be caught; raise domain exceptions in services.</w:t>
      </w:r>
    </w:p>
    <w:p>
      <w:pPr>
        <w:pStyle w:val="ListBullet"/>
      </w:pPr>
      <w:r>
        <w:t>Handle exceptions at the API boundary; return the standard error envelope.</w:t>
      </w:r>
    </w:p>
    <w:p>
      <w:pPr>
        <w:pStyle w:val="ListBullet"/>
      </w:pPr>
      <w:r>
        <w:t>Never expose stack traces or internal DB errors to users.</w:t>
      </w:r>
    </w:p>
    <w:p>
      <w:pPr>
        <w:pStyle w:val="ListBullet"/>
      </w:pPr>
      <w:r>
        <w:t>Wrap multi-step operations in transactions.</w:t>
      </w:r>
    </w:p>
    <w:p>
      <w:pPr>
        <w:pStyle w:val="Heading2"/>
      </w:pPr>
      <w:r>
        <w:t>3.5 Comments and Documentation</w:t>
      </w:r>
    </w:p>
    <w:p>
      <w:pPr>
        <w:pStyle w:val="ListBullet"/>
      </w:pPr>
      <w:r>
        <w:t>Comment the 'why', not the 'what'.</w:t>
      </w:r>
    </w:p>
    <w:p>
      <w:pPr>
        <w:pStyle w:val="ListBullet"/>
      </w:pPr>
      <w:r>
        <w:t>Add docstrings to public services and complex functions.</w:t>
      </w:r>
    </w:p>
    <w:p>
      <w:pPr>
        <w:pStyle w:val="ListBullet"/>
      </w:pPr>
      <w:r>
        <w:t>Document non-obvious business rules inline.</w:t>
      </w:r>
    </w:p>
    <w:p>
      <w:pPr>
        <w:pStyle w:val="ListBullet"/>
      </w:pPr>
      <w:r>
        <w:t>Keep comments current with code.</w:t>
      </w:r>
    </w:p>
    <w:p>
      <w:pPr>
        <w:pStyle w:val="Heading1"/>
      </w:pPr>
      <w:r>
        <w:t>4. React / TypeScript Conventions</w:t>
      </w:r>
    </w:p>
    <w:p>
      <w:pPr>
        <w:pStyle w:val="Heading2"/>
      </w:pPr>
      <w:r>
        <w:t>4.1 Style and Linting</w:t>
      </w:r>
    </w:p>
    <w:p>
      <w:pPr>
        <w:pStyle w:val="ListBullet"/>
      </w:pPr>
      <w:r>
        <w:t>Use ESLint + Prettier; consistent import ordering.</w:t>
      </w:r>
    </w:p>
    <w:p>
      <w:pPr>
        <w:pStyle w:val="ListBullet"/>
      </w:pPr>
      <w:r>
        <w:t>Prefer functional components with hooks.</w:t>
      </w:r>
    </w:p>
    <w:p>
      <w:pPr>
        <w:pStyle w:val="ListBullet"/>
      </w:pPr>
      <w:r>
        <w:t>Use TypeScript for type safety across the app.</w:t>
      </w:r>
    </w:p>
    <w:p>
      <w:pPr>
        <w:pStyle w:val="Heading2"/>
      </w:pPr>
      <w:r>
        <w:t>4.2 Naming</w:t>
      </w:r>
    </w:p>
    <w:p>
      <w:pPr>
        <w:pStyle w:val="ListBullet"/>
      </w:pPr>
      <w:r>
        <w:t>Components: PascalCase (MemberCard).</w:t>
      </w:r>
    </w:p>
    <w:p>
      <w:pPr>
        <w:pStyle w:val="ListBullet"/>
      </w:pPr>
      <w:r>
        <w:t>Hooks: use-prefixed camelCase (useMembers).</w:t>
      </w:r>
    </w:p>
    <w:p>
      <w:pPr>
        <w:pStyle w:val="ListBullet"/>
      </w:pPr>
      <w:r>
        <w:t>Constants: UPPER_SNAKE (MAX_PAGE_SIZE).</w:t>
      </w:r>
    </w:p>
    <w:p>
      <w:pPr>
        <w:pStyle w:val="ListBullet"/>
      </w:pPr>
      <w:r>
        <w:t>Files: match the main export (MemberCard.tsx).</w:t>
      </w:r>
    </w:p>
    <w:p>
      <w:pPr>
        <w:pStyle w:val="ListBullet"/>
      </w:pPr>
      <w:r>
        <w:t>CSS modules: kebab-case class names.</w:t>
      </w:r>
    </w:p>
    <w:p>
      <w:pPr>
        <w:pStyle w:val="Heading2"/>
      </w:pPr>
      <w:r>
        <w:t>4.3 File Organization</w:t>
      </w:r>
    </w:p>
    <w:p>
      <w:pPr>
        <w:pStyle w:val="ListBullet"/>
      </w:pPr>
      <w:r>
        <w:t>Feature-first structure (DOC-008).</w:t>
      </w:r>
    </w:p>
    <w:p>
      <w:pPr>
        <w:pStyle w:val="ListBullet"/>
      </w:pPr>
      <w:r>
        <w:t>Colocate related components, hooks, and styles with the feature.</w:t>
      </w:r>
    </w:p>
    <w:p>
      <w:pPr>
        <w:pStyle w:val="ListBullet"/>
      </w:pPr>
      <w:r>
        <w:t>Shared components live in components/; shared logic in hooks/ and utils/.</w:t>
      </w:r>
    </w:p>
    <w:p>
      <w:pPr>
        <w:pStyle w:val="Heading2"/>
      </w:pPr>
      <w:r>
        <w:t>4.4 Error Handling</w:t>
      </w:r>
    </w:p>
    <w:p>
      <w:pPr>
        <w:pStyle w:val="ListBullet"/>
      </w:pPr>
      <w:r>
        <w:t>Handle API errors via the standardized envelope (DOC-006).</w:t>
      </w:r>
    </w:p>
    <w:p>
      <w:pPr>
        <w:pStyle w:val="ListBullet"/>
      </w:pPr>
      <w:r>
        <w:t>Every data view renders loading, empty, error, and success states.</w:t>
      </w:r>
    </w:p>
    <w:p>
      <w:pPr>
        <w:pStyle w:val="ListBullet"/>
      </w:pPr>
      <w:r>
        <w:t>Do not swallow errors silently; surface actionable messages.</w:t>
      </w:r>
    </w:p>
    <w:p>
      <w:pPr>
        <w:pStyle w:val="Heading2"/>
      </w:pPr>
      <w:r>
        <w:t>4.5 Comments and Documentation</w:t>
      </w:r>
    </w:p>
    <w:p>
      <w:pPr>
        <w:pStyle w:val="ListBullet"/>
      </w:pPr>
      <w:r>
        <w:t>Prefer self-documenting code over comments.</w:t>
      </w:r>
    </w:p>
    <w:p>
      <w:pPr>
        <w:pStyle w:val="ListBullet"/>
      </w:pPr>
      <w:r>
        <w:t>Add JSDoc/comments for non-obvious logic and tricky data transformations.</w:t>
      </w:r>
    </w:p>
    <w:p>
      <w:pPr>
        <w:pStyle w:val="ListBullet"/>
      </w:pPr>
      <w:r>
        <w:t>Document complex form validation and permission-dependent UI.</w:t>
      </w:r>
    </w:p>
    <w:p>
      <w:pPr>
        <w:pStyle w:val="Heading1"/>
      </w:pPr>
      <w:r>
        <w:t>5. Security in Code</w:t>
      </w:r>
    </w:p>
    <w:p>
      <w:pPr>
        <w:pStyle w:val="ListBullet"/>
      </w:pPr>
      <w:r>
        <w:t>Never commit secrets, .env, API keys, DB passwords, JWT secrets, or cloud credentials.</w:t>
      </w:r>
    </w:p>
    <w:p>
      <w:pPr>
        <w:pStyle w:val="ListBullet"/>
      </w:pPr>
      <w:r>
        <w:t>Never log passwords, tokens, or sensitive data.</w:t>
      </w:r>
    </w:p>
    <w:p>
      <w:pPr>
        <w:pStyle w:val="ListBullet"/>
      </w:pPr>
      <w:r>
        <w:t>Always enforce tenant isolation and authorization at the backend.</w:t>
      </w:r>
    </w:p>
    <w:p>
      <w:pPr>
        <w:pStyle w:val="ListBullet"/>
      </w:pPr>
      <w:r>
        <w:t>Never assume frontend validation is security.</w:t>
      </w:r>
    </w:p>
    <w:p>
      <w:pPr>
        <w:pStyle w:val="ListBullet"/>
      </w:pPr>
      <w:r>
        <w:t>Use parameterized queries/ORM; escape output to prevent XSS/SQL injection.</w:t>
      </w:r>
    </w:p>
    <w:p>
      <w:pPr>
        <w:pStyle w:val="Heading1"/>
      </w:pPr>
      <w:r>
        <w:t>6. Definition of Done (Engineering)</w:t>
      </w:r>
    </w:p>
    <w:p>
      <w:pPr>
        <w:pStyle w:val="ListBullet"/>
      </w:pPr>
      <w:r>
        <w:t>Code is formatted and passes lint/type checks.</w:t>
      </w:r>
    </w:p>
    <w:p>
      <w:pPr>
        <w:pStyle w:val="ListBullet"/>
      </w:pPr>
      <w:r>
        <w:t>Tests exist and pass (DOC-013).</w:t>
      </w:r>
    </w:p>
    <w:p>
      <w:pPr>
        <w:pStyle w:val="ListBullet"/>
      </w:pPr>
      <w:r>
        <w:t>Tenant isolation and permissions are verified.</w:t>
      </w:r>
    </w:p>
    <w:p>
      <w:pPr>
        <w:pStyle w:val="ListBullet"/>
      </w:pPr>
      <w:r>
        <w:t>No known critical security issue.</w:t>
      </w:r>
    </w:p>
    <w:p>
      <w:pPr>
        <w:pStyle w:val="ListBullet"/>
      </w:pPr>
      <w:r>
        <w:t>Documentation is updated (API, database, etc.).</w:t>
      </w:r>
    </w:p>
    <w:p>
      <w:pPr>
        <w:pStyle w:val="ListBullet"/>
      </w:pPr>
      <w:r>
        <w:t>Code is reviewed.</w:t>
      </w:r>
    </w:p>
    <w:p>
      <w:pPr>
        <w:pStyle w:val="Heading1"/>
      </w:pPr>
      <w:r>
        <w:t>7. Document References</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2160"/>
            <w:shd w:val="clear" w:color="auto" w:fill="1F4E5F"/>
          </w:tcPr>
          <w:p>
            <w:r>
              <w:rPr>
                <w:b/>
                <w:color w:val="FFFFFF"/>
                <w:sz w:val="19"/>
              </w:rPr>
              <w:t>Document</w:t>
            </w:r>
          </w:p>
        </w:tc>
        <w:tc>
          <w:tcPr>
            <w:tcW w:type="dxa" w:w="6768"/>
            <w:shd w:val="clear" w:color="auto" w:fill="1F4E5F"/>
          </w:tcPr>
          <w:p>
            <w:r>
              <w:rPr>
                <w:b/>
                <w:color w:val="FFFFFF"/>
                <w:sz w:val="19"/>
              </w:rPr>
              <w:t>Title</w:t>
            </w:r>
          </w:p>
        </w:tc>
      </w:tr>
      <w:tr>
        <w:tc>
          <w:tcPr>
            <w:tcW w:type="dxa" w:w="2160"/>
          </w:tcPr>
          <w:p>
            <w:r>
              <w:rPr>
                <w:sz w:val="19"/>
              </w:rPr>
              <w:t>DOC-009</w:t>
            </w:r>
          </w:p>
        </w:tc>
        <w:tc>
          <w:tcPr>
            <w:tcW w:type="dxa" w:w="6768"/>
          </w:tcPr>
          <w:p>
            <w:r>
              <w:rPr>
                <w:sz w:val="19"/>
              </w:rPr>
              <w:t>Backend Architecture</w:t>
            </w:r>
          </w:p>
        </w:tc>
      </w:tr>
      <w:tr>
        <w:tc>
          <w:tcPr>
            <w:tcW w:type="dxa" w:w="2160"/>
            <w:shd w:val="clear" w:color="auto" w:fill="EAF1F3"/>
          </w:tcPr>
          <w:p>
            <w:r>
              <w:rPr>
                <w:sz w:val="19"/>
              </w:rPr>
              <w:t>DOC-008</w:t>
            </w:r>
          </w:p>
        </w:tc>
        <w:tc>
          <w:tcPr>
            <w:tcW w:type="dxa" w:w="6768"/>
            <w:shd w:val="clear" w:color="auto" w:fill="EAF1F3"/>
          </w:tcPr>
          <w:p>
            <w:r>
              <w:rPr>
                <w:sz w:val="19"/>
              </w:rPr>
              <w:t>Frontend Architecture</w:t>
            </w:r>
          </w:p>
        </w:tc>
      </w:tr>
      <w:tr>
        <w:tc>
          <w:tcPr>
            <w:tcW w:type="dxa" w:w="2160"/>
          </w:tcPr>
          <w:p>
            <w:r>
              <w:rPr>
                <w:sz w:val="19"/>
              </w:rPr>
              <w:t>DOC-010</w:t>
            </w:r>
          </w:p>
        </w:tc>
        <w:tc>
          <w:tcPr>
            <w:tcW w:type="dxa" w:w="6768"/>
          </w:tcPr>
          <w:p>
            <w:r>
              <w:rPr>
                <w:sz w:val="19"/>
              </w:rPr>
              <w:t>Security Design Document</w:t>
            </w:r>
          </w:p>
        </w:tc>
      </w:tr>
      <w:tr>
        <w:tc>
          <w:tcPr>
            <w:tcW w:type="dxa" w:w="2160"/>
            <w:shd w:val="clear" w:color="auto" w:fill="EAF1F3"/>
          </w:tcPr>
          <w:p>
            <w:r>
              <w:rPr>
                <w:sz w:val="19"/>
              </w:rPr>
              <w:t>DOC-013</w:t>
            </w:r>
          </w:p>
        </w:tc>
        <w:tc>
          <w:tcPr>
            <w:tcW w:type="dxa" w:w="6768"/>
            <w:shd w:val="clear" w:color="auto" w:fill="EAF1F3"/>
          </w:tcPr>
          <w:p>
            <w:r>
              <w:rPr>
                <w:sz w:val="19"/>
              </w:rPr>
              <w:t>Testing Strategy</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eastAsia="Calibri"/>
      <w:b/>
      <w:bCs/>
      <w:color w:val="1F4E5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eastAsia="Calibri"/>
      <w:b/>
      <w:bCs/>
      <w:color w:val="1F4E5F"/>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eastAsia="Calibri"/>
      <w:b/>
      <w:bCs/>
      <w:color w:val="E07B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