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4E5F"/>
          <w:sz w:val="80"/>
        </w:rPr>
        <w:t>GYMOS</w:t>
      </w:r>
    </w:p>
    <w:p>
      <w:pPr>
        <w:jc w:val="center"/>
      </w:pPr>
      <w:r>
        <w:rPr>
          <w:b/>
          <w:color w:val="E07B2E"/>
          <w:sz w:val="44"/>
        </w:rPr>
        <w:t>DOC-015</w:t>
      </w:r>
    </w:p>
    <w:p>
      <w:pPr>
        <w:jc w:val="center"/>
      </w:pPr>
      <w:r>
        <w:rPr>
          <w:b/>
          <w:color w:val="222222"/>
          <w:sz w:val="48"/>
        </w:rPr>
        <w:t>Deployment Runbook</w:t>
      </w:r>
    </w:p>
    <w:p>
      <w:pPr>
        <w:jc w:val="center"/>
      </w:pPr>
      <w:r>
        <w:rPr>
          <w:color w:val="595959"/>
          <w:sz w:val="26"/>
        </w:rPr>
        <w:t>GymOS — Step-by-Step Production Deployment</w:t>
      </w:r>
    </w:p>
    <w:p/>
    <w:p/>
    <w:p/>
    <w:p/>
    <w:p/>
    <w:p/>
    <w:p/>
    <w:p/>
    <w:p>
      <w:pPr>
        <w:jc w:val="center"/>
      </w:pPr>
      <w:r>
        <w:rPr>
          <w:b/>
          <w:color w:val="1F4E5F"/>
        </w:rPr>
        <w:t xml:space="preserve">Document ID:  </w:t>
      </w:r>
      <w:r>
        <w:rPr>
          <w:color w:val="222222"/>
        </w:rPr>
        <w:t>DOC-015</w:t>
      </w:r>
    </w:p>
    <w:p>
      <w:pPr>
        <w:jc w:val="center"/>
      </w:pPr>
      <w:r>
        <w:rPr>
          <w:b/>
          <w:color w:val="1F4E5F"/>
        </w:rPr>
        <w:t xml:space="preserve">Version:  </w:t>
      </w:r>
      <w:r>
        <w:rPr>
          <w:color w:val="222222"/>
        </w:rPr>
        <w:t>1.0</w:t>
      </w:r>
    </w:p>
    <w:p>
      <w:pPr>
        <w:jc w:val="center"/>
      </w:pPr>
      <w:r>
        <w:rPr>
          <w:b/>
          <w:color w:val="1F4E5F"/>
        </w:rPr>
        <w:t xml:space="preserve">Status:  </w:t>
      </w:r>
      <w:r>
        <w:rPr>
          <w:color w:val="222222"/>
        </w:rPr>
        <w:t>Draft</w:t>
      </w:r>
    </w:p>
    <w:p>
      <w:pPr>
        <w:jc w:val="center"/>
      </w:pPr>
      <w:r>
        <w:rPr>
          <w:b/>
          <w:color w:val="1F4E5F"/>
        </w:rPr>
        <w:t xml:space="preserve">Author:  </w:t>
      </w:r>
      <w:r>
        <w:rPr>
          <w:color w:val="222222"/>
        </w:rPr>
        <w:t>GymOS DevOps Team</w:t>
      </w:r>
    </w:p>
    <w:p>
      <w:pPr>
        <w:jc w:val="center"/>
      </w:pPr>
      <w:r>
        <w:rPr>
          <w:b/>
          <w:color w:val="1F4E5F"/>
        </w:rPr>
        <w:t xml:space="preserve">Date:  </w:t>
      </w:r>
      <w:r>
        <w:rPr>
          <w:color w:val="222222"/>
        </w:rPr>
        <w:t>2026-09-02</w:t>
      </w:r>
    </w:p>
    <w:p>
      <w:pPr>
        <w:jc w:val="center"/>
      </w:pPr>
      <w:r>
        <w:rPr>
          <w:b/>
          <w:color w:val="1F4E5F"/>
        </w:rPr>
        <w:t xml:space="preserve">Classification:  </w:t>
      </w:r>
      <w:r>
        <w:rPr>
          <w:color w:val="222222"/>
        </w:rPr>
        <w:t>Internal / Restricted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runbook provides step-by-step instructions for deploying GymOS to production. It is intended for the engineer on duty and assumes access to the deployment platform, secret store, and monitoring.</w:t>
      </w:r>
    </w:p>
    <w:p>
      <w:pPr>
        <w:pStyle w:val="Heading1"/>
      </w:pPr>
      <w:r>
        <w:t>2. Prerequisites</w:t>
      </w:r>
    </w:p>
    <w:p>
      <w:pPr>
        <w:pStyle w:val="ListBullet"/>
      </w:pPr>
      <w:r>
        <w:t>GitHub Actions pipeline green (DOC-014).</w:t>
      </w:r>
    </w:p>
    <w:p>
      <w:pPr>
        <w:pStyle w:val="ListBullet"/>
      </w:pPr>
      <w:r>
        <w:t>Release candidate validated in Staging.</w:t>
      </w:r>
    </w:p>
    <w:p>
      <w:pPr>
        <w:pStyle w:val="ListBullet"/>
      </w:pPr>
      <w:r>
        <w:t>Access to production secrets/credentials (restricted).</w:t>
      </w:r>
    </w:p>
    <w:p>
      <w:pPr>
        <w:pStyle w:val="ListBullet"/>
      </w:pPr>
      <w:r>
        <w:t>Backup of production database verified within the last 24h.</w:t>
      </w:r>
    </w:p>
    <w:p>
      <w:pPr>
        <w:pStyle w:val="ListBullet"/>
      </w:pPr>
      <w:r>
        <w:t>Monitoring/dashboards accessible to confirm health after deploy.</w:t>
      </w:r>
    </w:p>
    <w:p>
      <w:pPr>
        <w:pStyle w:val="Heading1"/>
      </w:pPr>
      <w:r>
        <w:t>3. Pre-Deployment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864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6624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type="dxa" w:w="1152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Result</w:t>
            </w:r>
          </w:p>
        </w:tc>
      </w:tr>
      <w:tr>
        <w:tc>
          <w:tcPr>
            <w:tcW w:type="dxa" w:w="864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Staging smoke tests pass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864"/>
            <w:shd w:val="clear" w:color="auto" w:fill="EAF1F3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6624"/>
            <w:shd w:val="clear" w:color="auto" w:fill="EAF1F3"/>
          </w:tcPr>
          <w:p>
            <w:r>
              <w:rPr>
                <w:sz w:val="19"/>
              </w:rPr>
              <w:t>Database backup taken &amp; verified</w:t>
            </w:r>
          </w:p>
        </w:tc>
        <w:tc>
          <w:tcPr>
            <w:tcW w:type="dxa" w:w="1152"/>
            <w:shd w:val="clear" w:color="auto" w:fill="EAF1F3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864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Migrations reviewed and reversible where possible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864"/>
            <w:shd w:val="clear" w:color="auto" w:fill="EAF1F3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6624"/>
            <w:shd w:val="clear" w:color="auto" w:fill="EAF1F3"/>
          </w:tcPr>
          <w:p>
            <w:r>
              <w:rPr>
                <w:sz w:val="19"/>
              </w:rPr>
              <w:t>Release notes ready</w:t>
            </w:r>
          </w:p>
        </w:tc>
        <w:tc>
          <w:tcPr>
            <w:tcW w:type="dxa" w:w="1152"/>
            <w:shd w:val="clear" w:color="auto" w:fill="EAF1F3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864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On-call engineer available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☐</w:t>
            </w:r>
          </w:p>
        </w:tc>
      </w:tr>
    </w:tbl>
    <w:p/>
    <w:p>
      <w:pPr>
        <w:pStyle w:val="Heading1"/>
      </w:pPr>
      <w:r>
        <w:t>4. Deployment Steps</w:t>
      </w:r>
    </w:p>
    <w:p>
      <w:pPr>
        <w:pStyle w:val="ListBullet"/>
      </w:pPr>
      <w:r>
        <w:t>1. Create a release tag vX.Y.Z from main.</w:t>
      </w:r>
    </w:p>
    <w:p>
      <w:pPr>
        <w:pStyle w:val="ListBullet"/>
      </w:pPr>
      <w:r>
        <w:t>2. CI builds immutable artifacts (frontend assets, backend image).</w:t>
      </w:r>
    </w:p>
    <w:p>
      <w:pPr>
        <w:pStyle w:val="ListBullet"/>
      </w:pPr>
      <w:r>
        <w:t>3. Run database migrations (in an explicit migration step, not inside app start).</w:t>
      </w:r>
    </w:p>
    <w:p>
      <w:pPr>
        <w:pStyle w:val="ListBullet"/>
      </w:pPr>
      <w:r>
        <w:t>4. Deploy backend image to production (rolling, one instance at a time).</w:t>
      </w:r>
    </w:p>
    <w:p>
      <w:pPr>
        <w:pStyle w:val="ListBullet"/>
      </w:pPr>
      <w:r>
        <w:t>5. Deploy frontend static assets to CDN/reverse proxy.</w:t>
      </w:r>
    </w:p>
    <w:p>
      <w:pPr>
        <w:pStyle w:val="ListBullet"/>
      </w:pPr>
      <w:r>
        <w:t>6. Run post-deploy smoke tests (login, create member, record payment in test tenant).</w:t>
      </w:r>
    </w:p>
    <w:p>
      <w:pPr>
        <w:pStyle w:val="ListBullet"/>
      </w:pPr>
      <w:r>
        <w:t>7. Verify monitoring: latency, error rate, background jobs, queue health.</w:t>
      </w:r>
    </w:p>
    <w:p>
      <w:pPr>
        <w:pStyle w:val="ListBullet"/>
      </w:pPr>
      <w:r>
        <w:t>8. Confirm payment webhook endpoint is reachable and verified.</w:t>
      </w:r>
    </w:p>
    <w:p>
      <w:pPr>
        <w:pStyle w:val="ListBullet"/>
      </w:pPr>
      <w:r>
        <w:t>9. Update release notes and deployment log.</w:t>
      </w:r>
    </w:p>
    <w:p>
      <w:pPr>
        <w:pStyle w:val="Heading1"/>
      </w:pPr>
      <w:r>
        <w:t>5. Post-Deployment Verification</w:t>
      </w:r>
    </w:p>
    <w:p>
      <w:pPr>
        <w:pStyle w:val="ListBullet"/>
      </w:pPr>
      <w:r>
        <w:t>Login works for owner, staff, and member roles.</w:t>
      </w:r>
    </w:p>
    <w:p>
      <w:pPr>
        <w:pStyle w:val="ListBullet"/>
      </w:pPr>
      <w:r>
        <w:t>Core APIs return the standard envelope without errors.</w:t>
      </w:r>
    </w:p>
    <w:p>
      <w:pPr>
        <w:pStyle w:val="ListBullet"/>
      </w:pPr>
      <w:r>
        <w:t>Celery workers process queued notifications.</w:t>
      </w:r>
    </w:p>
    <w:p>
      <w:pPr>
        <w:pStyle w:val="ListBullet"/>
      </w:pPr>
      <w:r>
        <w:t>Object storage file upload/download works (with auth).</w:t>
      </w:r>
    </w:p>
    <w:p>
      <w:pPr>
        <w:pStyle w:val="ListBullet"/>
      </w:pPr>
      <w:r>
        <w:t>No elevated error rate or latency in dashboards.</w:t>
      </w:r>
    </w:p>
    <w:p>
      <w:pPr>
        <w:pStyle w:val="Heading1"/>
      </w:pPr>
      <w:r>
        <w:t>6. Rollback Procedure</w:t>
      </w:r>
    </w:p>
    <w:p>
      <w:pPr>
        <w:pStyle w:val="ListBullet"/>
      </w:pPr>
      <w:r>
        <w:t>If the deployment is broken: redeploy the previous immutable artifact.</w:t>
      </w:r>
    </w:p>
    <w:p>
      <w:pPr>
        <w:pStyle w:val="ListBullet"/>
      </w:pPr>
      <w:r>
        <w:t>For non-reversible migrations, apply a forward-fix instead of rollback.</w:t>
      </w:r>
    </w:p>
    <w:p>
      <w:pPr>
        <w:pStyle w:val="ListBullet"/>
      </w:pPr>
      <w:r>
        <w:t>Record the incident and rollback decision (DOC-016).</w:t>
      </w:r>
    </w:p>
    <w:p>
      <w:pPr>
        <w:pStyle w:val="ListBullet"/>
      </w:pPr>
      <w:r>
        <w:t>Verify data integrity and backups after rollback.</w:t>
      </w:r>
    </w:p>
    <w:p>
      <w:pPr>
        <w:pStyle w:val="Heading1"/>
      </w:pPr>
      <w:r>
        <w:t>7. Backups and Recovery</w:t>
      </w:r>
    </w:p>
    <w:p>
      <w:pPr>
        <w:pStyle w:val="ListBullet"/>
      </w:pPr>
      <w:r>
        <w:t>Automated database backups with retention policy.</w:t>
      </w:r>
    </w:p>
    <w:p>
      <w:pPr>
        <w:pStyle w:val="ListBullet"/>
      </w:pPr>
      <w:r>
        <w:t>Media/object-storage backup strategy.</w:t>
      </w:r>
    </w:p>
    <w:p>
      <w:pPr>
        <w:pStyle w:val="ListBullet"/>
      </w:pPr>
      <w:r>
        <w:t>Regularly test restoration in a non-production environment.</w:t>
      </w:r>
    </w:p>
    <w:p>
      <w:pPr>
        <w:pStyle w:val="ListBullet"/>
      </w:pPr>
      <w:r>
        <w:t>Disaster-recovery procedure documented and rehearsed.</w:t>
      </w:r>
    </w:p>
    <w:p>
      <w:pPr>
        <w:pStyle w:val="Heading1"/>
      </w:pPr>
      <w:r>
        <w:t>8. Document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2160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Document</w:t>
            </w:r>
          </w:p>
        </w:tc>
        <w:tc>
          <w:tcPr>
            <w:tcW w:type="dxa" w:w="6768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Title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DOC-014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CI/CD Document</w:t>
            </w:r>
          </w:p>
        </w:tc>
      </w:tr>
      <w:tr>
        <w:tc>
          <w:tcPr>
            <w:tcW w:type="dxa" w:w="2160"/>
            <w:shd w:val="clear" w:color="auto" w:fill="EAF1F3"/>
          </w:tcPr>
          <w:p>
            <w:r>
              <w:rPr>
                <w:sz w:val="19"/>
              </w:rPr>
              <w:t>DOC-016</w:t>
            </w:r>
          </w:p>
        </w:tc>
        <w:tc>
          <w:tcPr>
            <w:tcW w:type="dxa" w:w="6768"/>
            <w:shd w:val="clear" w:color="auto" w:fill="EAF1F3"/>
          </w:tcPr>
          <w:p>
            <w:r>
              <w:rPr>
                <w:sz w:val="19"/>
              </w:rPr>
              <w:t>Incident Response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DOC-004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System Architecture Document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E07B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