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DOC-008</w:t>
      </w:r>
    </w:p>
    <w:p>
      <w:pPr>
        <w:jc w:val="center"/>
      </w:pPr>
      <w:r>
        <w:rPr>
          <w:b/>
          <w:color w:val="222222"/>
          <w:sz w:val="48"/>
        </w:rPr>
        <w:t>Frontend Architecture</w:t>
      </w:r>
    </w:p>
    <w:p>
      <w:pPr>
        <w:jc w:val="center"/>
      </w:pPr>
      <w:r>
        <w:rPr>
          <w:color w:val="595959"/>
          <w:sz w:val="26"/>
        </w:rPr>
        <w:t>GymOS — React Single-Page Application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DOC-008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Frontend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GymOS frontend architecture: framework and tooling, directory structure, routing, state management, API integration, and component conventions. The frontend is a React single-page application organized by feature. The backend is the authority for authorization; the frontend only reflects permitted actions.</w:t>
      </w:r>
    </w:p>
    <w:p>
      <w:pPr>
        <w:pStyle w:val="Heading2"/>
      </w:pPr>
      <w:r>
        <w:t>1.2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59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633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Choice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UI framework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React.js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Routing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React Router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HTTP client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Axios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State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Context API for auth/tenant; local/feature state; server cache for server data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Styling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CSS modules / design tokens (responsive)</w:t>
            </w:r>
          </w:p>
        </w:tc>
      </w:tr>
      <w:tr>
        <w:tc>
          <w:tcPr>
            <w:tcW w:type="dxa" w:w="2592"/>
            <w:shd w:val="clear" w:color="auto" w:fill="EAF1F3"/>
          </w:tcPr>
          <w:p>
            <w:r>
              <w:rPr>
                <w:sz w:val="19"/>
              </w:rPr>
              <w:t>Build</w:t>
            </w:r>
          </w:p>
        </w:tc>
        <w:tc>
          <w:tcPr>
            <w:tcW w:type="dxa" w:w="6336"/>
            <w:shd w:val="clear" w:color="auto" w:fill="EAF1F3"/>
          </w:tcPr>
          <w:p>
            <w:r>
              <w:rPr>
                <w:sz w:val="19"/>
              </w:rPr>
              <w:t>Vite or Create React App equivalent (ESLint + Prettier)</w:t>
            </w:r>
          </w:p>
        </w:tc>
      </w:tr>
    </w:tbl>
    <w:p/>
    <w:p>
      <w:pPr>
        <w:pStyle w:val="Heading1"/>
      </w:pPr>
      <w:r>
        <w:t>2. Directory Structure</w:t>
      </w:r>
    </w:p>
    <w:p>
      <w:r>
        <w:t>Organize by feature so related code lives together: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45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472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src/app/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App bootstrap, providers, router setup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9"/>
              </w:rPr>
              <w:t>src/components/</w:t>
            </w:r>
          </w:p>
        </w:tc>
        <w:tc>
          <w:tcPr>
            <w:tcW w:type="dxa" w:w="5472"/>
            <w:shd w:val="clear" w:color="auto" w:fill="EAF1F3"/>
          </w:tcPr>
          <w:p>
            <w:r>
              <w:rPr>
                <w:sz w:val="19"/>
              </w:rPr>
              <w:t>Shared/reusable UI components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src/layouts/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Role-based shells (owner, staff, member, admin)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9"/>
              </w:rPr>
              <w:t>src/routes/</w:t>
            </w:r>
          </w:p>
        </w:tc>
        <w:tc>
          <w:tcPr>
            <w:tcW w:type="dxa" w:w="5472"/>
            <w:shd w:val="clear" w:color="auto" w:fill="EAF1F3"/>
          </w:tcPr>
          <w:p>
            <w:r>
              <w:rPr>
                <w:sz w:val="19"/>
              </w:rPr>
              <w:t>Route definitions and guards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src/features/&lt;feature&gt;/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Feature modules: auth, members, trainers, memberships, attendance, payments, workouts, diets, progress, reports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9"/>
              </w:rPr>
              <w:t>src/features/&lt;feature&gt;/components/</w:t>
            </w:r>
          </w:p>
        </w:tc>
        <w:tc>
          <w:tcPr>
            <w:tcW w:type="dxa" w:w="5472"/>
            <w:shd w:val="clear" w:color="auto" w:fill="EAF1F3"/>
          </w:tcPr>
          <w:p>
            <w:r>
              <w:rPr>
                <w:sz w:val="19"/>
              </w:rPr>
              <w:t>Feature-specific components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src/features/&lt;feature&gt;/pages/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Route-level pages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9"/>
              </w:rPr>
              <w:t>src/services/</w:t>
            </w:r>
          </w:p>
        </w:tc>
        <w:tc>
          <w:tcPr>
            <w:tcW w:type="dxa" w:w="5472"/>
            <w:shd w:val="clear" w:color="auto" w:fill="EAF1F3"/>
          </w:tcPr>
          <w:p>
            <w:r>
              <w:rPr>
                <w:sz w:val="19"/>
              </w:rPr>
              <w:t>API client modules and endpoint wrappers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src/hooks/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Shared custom hooks</w:t>
            </w:r>
          </w:p>
        </w:tc>
      </w:tr>
      <w:tr>
        <w:tc>
          <w:tcPr>
            <w:tcW w:type="dxa" w:w="3456"/>
            <w:shd w:val="clear" w:color="auto" w:fill="EAF1F3"/>
          </w:tcPr>
          <w:p>
            <w:r>
              <w:rPr>
                <w:sz w:val="19"/>
              </w:rPr>
              <w:t>src/contexts/</w:t>
            </w:r>
          </w:p>
        </w:tc>
        <w:tc>
          <w:tcPr>
            <w:tcW w:type="dxa" w:w="5472"/>
            <w:shd w:val="clear" w:color="auto" w:fill="EAF1F3"/>
          </w:tcPr>
          <w:p>
            <w:r>
              <w:rPr>
                <w:sz w:val="19"/>
              </w:rPr>
              <w:t>Global context (AuthContext, TenantContext, ToastContext)</w:t>
            </w:r>
          </w:p>
        </w:tc>
      </w:tr>
      <w:tr>
        <w:tc>
          <w:tcPr>
            <w:tcW w:type="dxa" w:w="3456"/>
          </w:tcPr>
          <w:p>
            <w:r>
              <w:rPr>
                <w:sz w:val="19"/>
              </w:rPr>
              <w:t>src/utils/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Helpers, formatters, constants</w:t>
            </w:r>
          </w:p>
        </w:tc>
      </w:tr>
    </w:tbl>
    <w:p/>
    <w:p>
      <w:pPr>
        <w:pStyle w:val="Heading1"/>
      </w:pPr>
      <w:r>
        <w:t>3. Routing and Route Guards</w:t>
      </w:r>
    </w:p>
    <w:p>
      <w:r>
        <w:t>Routes are grouped by user segment, each guarded by authentication and role permissions. The guard checks the user's role and the backend's allowed actions; unauthorized routes redirect to a '403 / not authorized' screen.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144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Base path</w:t>
            </w:r>
          </w:p>
        </w:tc>
        <w:tc>
          <w:tcPr>
            <w:tcW w:type="dxa" w:w="460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Example routes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/auth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/login, /forgot-password, /reset-password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Owner / Admin</w:t>
            </w:r>
          </w:p>
        </w:tc>
        <w:tc>
          <w:tcPr>
            <w:tcW w:type="dxa" w:w="1440"/>
            <w:shd w:val="clear" w:color="auto" w:fill="EAF1F3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4608"/>
            <w:shd w:val="clear" w:color="auto" w:fill="EAF1F3"/>
          </w:tcPr>
          <w:p>
            <w:r>
              <w:rPr>
                <w:sz w:val="19"/>
              </w:rPr>
              <w:t>/dashboard, /members, /trainers, /branches, /plans, /payments, /reports, /settings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Branch Manager / Receptionist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/dashboard, /members, /attendance, /payments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Trainer</w:t>
            </w:r>
          </w:p>
        </w:tc>
        <w:tc>
          <w:tcPr>
            <w:tcW w:type="dxa" w:w="1440"/>
            <w:shd w:val="clear" w:color="auto" w:fill="EAF1F3"/>
          </w:tcPr>
          <w:p>
            <w:r>
              <w:rPr>
                <w:sz w:val="19"/>
              </w:rPr>
              <w:t>/trainer</w:t>
            </w:r>
          </w:p>
        </w:tc>
        <w:tc>
          <w:tcPr>
            <w:tcW w:type="dxa" w:w="4608"/>
            <w:shd w:val="clear" w:color="auto" w:fill="EAF1F3"/>
          </w:tcPr>
          <w:p>
            <w:r>
              <w:rPr>
                <w:sz w:val="19"/>
              </w:rPr>
              <w:t>/dashboard, /members, /workouts, /diets, /progress, /sessions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Member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/member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/dashboard, /membership, /payments, /attendance, /workouts, /diet, /progress, /notifications, /profile</w:t>
            </w:r>
          </w:p>
        </w:tc>
      </w:tr>
    </w:tbl>
    <w:p/>
    <w:p>
      <w:pPr>
        <w:pStyle w:val="Heading1"/>
      </w:pPr>
      <w:r>
        <w:t>4. State Management</w:t>
      </w:r>
    </w:p>
    <w:p>
      <w:pPr>
        <w:pStyle w:val="ListBullet"/>
      </w:pPr>
      <w:r>
        <w:t>Server state (members, payments, plans) is fetched via services and cached; do not duplicate it in global context.</w:t>
      </w:r>
    </w:p>
    <w:p>
      <w:pPr>
        <w:pStyle w:val="ListBullet"/>
      </w:pPr>
      <w:r>
        <w:t>Global context: AuthContext (tokens, user, role), TenantContext (tenant/branch scope), ToastContext (notifications/feedback).</w:t>
      </w:r>
    </w:p>
    <w:p>
      <w:pPr>
        <w:pStyle w:val="ListBullet"/>
      </w:pPr>
      <w:r>
        <w:t>Form state is local to feature components.</w:t>
      </w:r>
    </w:p>
    <w:p>
      <w:pPr>
        <w:pStyle w:val="ListBullet"/>
      </w:pPr>
      <w:r>
        <w:t>Keep authorization state minimal — always re-verify with the backend.</w:t>
      </w:r>
    </w:p>
    <w:p>
      <w:pPr>
        <w:pStyle w:val="Heading1"/>
      </w:pPr>
      <w:r>
        <w:t>5. API Integration</w:t>
      </w:r>
    </w:p>
    <w:p>
      <w:r>
        <w:t>An Axios instance is configured with the base URL, auth token injection, and interceptors for token refresh and standardized error handling (DOC-006 envelope).</w:t>
      </w:r>
    </w:p>
    <w:p>
      <w:pPr>
        <w:pStyle w:val="ListBullet"/>
      </w:pPr>
      <w:r>
        <w:t>Services directory exposes typed functions per resource (e.g., membersApi.list()).</w:t>
      </w:r>
    </w:p>
    <w:p>
      <w:pPr>
        <w:pStyle w:val="ListBullet"/>
      </w:pPr>
      <w:r>
        <w:t>On 401 → attempt refresh; on refresh failure → logout and redirect to /login.</w:t>
      </w:r>
    </w:p>
    <w:p>
      <w:pPr>
        <w:pStyle w:val="ListBullet"/>
      </w:pPr>
      <w:r>
        <w:t>Parse the standard envelope {success, data, message, error}.</w:t>
      </w:r>
    </w:p>
    <w:p>
      <w:pPr>
        <w:pStyle w:val="ListBullet"/>
      </w:pPr>
      <w:r>
        <w:t>Never store sensitive data in localStorage without explicit justification; prefer HttpOnly cookies or secure storage for tokens.</w:t>
      </w:r>
    </w:p>
    <w:p>
      <w:pPr>
        <w:pStyle w:val="Heading1"/>
      </w:pPr>
      <w:r>
        <w:t>6. Component and Page Conventions</w:t>
      </w:r>
    </w:p>
    <w:p>
      <w:pPr>
        <w:pStyle w:val="ListBullet"/>
      </w:pPr>
      <w:r>
        <w:t>Pages are composed of feature components and shared UI components.</w:t>
      </w:r>
    </w:p>
    <w:p>
      <w:pPr>
        <w:pStyle w:val="ListBullet"/>
      </w:pPr>
      <w:r>
        <w:t>Every data page handles four states: loading, empty, error, and success.</w:t>
      </w:r>
    </w:p>
    <w:p>
      <w:pPr>
        <w:pStyle w:val="ListBullet"/>
      </w:pPr>
      <w:r>
        <w:t>Actions are hidden/disabled based on the permissions the backend reports for the user.</w:t>
      </w:r>
    </w:p>
    <w:p>
      <w:pPr>
        <w:pStyle w:val="ListBullet"/>
      </w:pPr>
      <w:r>
        <w:t>Forms validate client-side for UX but rely on server validation as the source of truth.</w:t>
      </w:r>
    </w:p>
    <w:p>
      <w:pPr>
        <w:pStyle w:val="ListBullet"/>
      </w:pPr>
      <w:r>
        <w:t>Use a shared design-token palette (see DOC-017 UX Specification).</w:t>
      </w:r>
    </w:p>
    <w:p>
      <w:pPr>
        <w:pStyle w:val="Heading1"/>
      </w:pPr>
      <w:r>
        <w:t>7. Accessibility and Responsiveness</w:t>
      </w:r>
    </w:p>
    <w:p>
      <w:pPr>
        <w:pStyle w:val="ListBullet"/>
      </w:pPr>
      <w:r>
        <w:t>Responsive layouts for desktop and mobile (members often use phones).</w:t>
      </w:r>
    </w:p>
    <w:p>
      <w:pPr>
        <w:pStyle w:val="ListBullet"/>
      </w:pPr>
      <w:r>
        <w:t>Keyboard navigation and sensible focus states.</w:t>
      </w:r>
    </w:p>
    <w:p>
      <w:pPr>
        <w:pStyle w:val="ListBullet"/>
      </w:pPr>
      <w:r>
        <w:t>Sufficient color contrast; ARIA labels on interactive components.</w:t>
      </w:r>
    </w:p>
    <w:p>
      <w:pPr>
        <w:pStyle w:val="ListBullet"/>
      </w:pPr>
      <w:r>
        <w:t>Loading/empty/error states are accessible and descriptive.</w:t>
      </w:r>
    </w:p>
    <w:p>
      <w:pPr>
        <w:pStyle w:val="Heading1"/>
      </w:pPr>
      <w:r>
        <w:t>8.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DOC-004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System Architecture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DOC-006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API Specification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RBAC Permission Matrix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DOC-017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UX Specification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DOC-018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Screen Inventory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