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Calibri" w:hAnsi="Calibri"/>
          <w:b/>
          <w:i w:val="0"/>
          <w:color w:val="132238"/>
          <w:sz w:val="41"/>
        </w:rPr>
        <w:t>RoundCraft | Agora-First Backend Architecture</w:t>
      </w:r>
    </w:p>
    <w:p>
      <w:pPr>
        <w:keepNext/>
        <w:spacing w:before="0" w:after="100"/>
      </w:pPr>
      <w:r>
        <w:rPr>
          <w:rFonts w:ascii="Calibri" w:hAnsi="Calibri"/>
          <w:b w:val="0"/>
          <w:i w:val="0"/>
          <w:color w:val="526377"/>
          <w:sz w:val="18"/>
        </w:rPr>
        <w:t>Production blueprint for a configurable 2-5 member AI interview panel with native interruption, shared context, tools and evidence-linked assessment</w:t>
      </w:r>
    </w:p>
    <w:p>
      <w:pPr>
        <w:spacing w:before="0" w:after="20" w:line="245" w:lineRule="auto"/>
        <w:ind w:left="115" w:right="115"/>
        <w:shd w:fill="EAF5FD"/>
        <w:pBdr>
          <w:top w:val="single" w:sz="6" w:space="2" w:color="B8DDF5"/>
          <w:left w:val="single" w:sz="6" w:space="2" w:color="B8DDF5"/>
          <w:bottom w:val="single" w:sz="6" w:space="2" w:color="B8DDF5"/>
          <w:right w:val="single" w:sz="6" w:space="2" w:color="B8DDF5"/>
        </w:pBdr>
      </w:pPr>
      <w:r>
        <w:rPr>
          <w:rFonts w:ascii="Calibri" w:hAnsi="Calibri"/>
          <w:b/>
          <w:i w:val="0"/>
          <w:color w:val="006BB5"/>
          <w:sz w:val="16"/>
        </w:rPr>
        <w:t xml:space="preserve">CORE DECISION  </w:t>
      </w:r>
      <w:r>
        <w:rPr>
          <w:rFonts w:ascii="Calibri" w:hAnsi="Calibri"/>
          <w:b/>
          <w:i w:val="0"/>
          <w:color w:val="132238"/>
          <w:sz w:val="16"/>
        </w:rPr>
        <w:t>One Agora voice session per interview. The silent Panel Director arbitrates every completed candidate turn, so panelist 1 -&gt; 3 -&gt; 1 works naturally: one audible speaker, no linear handoff and no human reviewer.</w:t>
      </w:r>
    </w:p>
    <w:p>
      <w:pPr>
        <w:keepNext/>
        <w:spacing w:before="80" w:after="60" w:line="240" w:lineRule="auto"/>
      </w:pPr>
      <w:r>
        <w:rPr>
          <w:rFonts w:ascii="Calibri" w:hAnsi="Calibri"/>
          <w:b/>
          <w:i w:val="0"/>
          <w:color w:val="006BB5"/>
          <w:sz w:val="15"/>
        </w:rPr>
        <w:t xml:space="preserve">STACK  </w:t>
      </w:r>
      <w:r>
        <w:rPr>
          <w:rFonts w:ascii="Calibri" w:hAnsi="Calibri"/>
          <w:b w:val="0"/>
          <w:i w:val="0"/>
          <w:color w:val="132238"/>
          <w:sz w:val="15"/>
        </w:rPr>
        <w:t>Next.js 16 + Agora RTC/RTM and Agent UI Kit  |  Agora Conversational AI with managed STT/TTS  |  Python 3.12, FastAPI and Agora Agents SDK  |  Supabase Auth/Postgres/pgvector/Storage  |  Vercel + Cloud Run</w:t>
      </w:r>
    </w:p>
    <w:p>
      <w:pPr>
        <w:keepLines/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9144000" cy="2743200"/>
            <wp:docPr id="1" name="Picture 1" descr="RoundCraft architecture: the candidate web app uses Agora RTC and RTM; Agora calls a FastAPI Panel Director on Cloud Run; durable application data and private files live in Supabase, with external providers used only for ga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craft_agora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CED8E4"/>
          <w:left w:val="single" w:sz="5" w:space="0" w:color="CED8E4"/>
          <w:bottom w:val="single" w:sz="5" w:space="0" w:color="CED8E4"/>
          <w:right w:val="single" w:sz="5" w:space="0" w:color="CED8E4"/>
          <w:insideH w:val="single" w:sz="5" w:space="0" w:color="CED8E4"/>
          <w:insideV w:val="single" w:sz="5" w:space="0" w:color="CED8E4"/>
        </w:tblBorders>
      </w:tblPr>
      <w:tblGrid>
        <w:gridCol w:w="4579"/>
        <w:gridCol w:w="4781"/>
        <w:gridCol w:w="5040"/>
      </w:tblGrid>
      <w:tr>
        <w:trPr>
          <w:tblHeader w:val="true"/>
        </w:trPr>
        <w:tc>
          <w:tcPr>
            <w:tcW w:type="dxa" w:w="4579"/>
            <w:vAlign w:val="center"/>
            <w:tcMar>
              <w:top w:w="45" w:type="dxa"/>
              <w:start w:w="105" w:type="dxa"/>
              <w:bottom w:w="38" w:type="dxa"/>
              <w:end w:w="105" w:type="dxa"/>
            </w:tcMar>
            <w:shd w:fill="F4F7FB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06BB5"/>
                <w:sz w:val="16"/>
              </w:rPr>
              <w:t>RUNTIME FLOW</w:t>
            </w:r>
          </w:p>
        </w:tc>
        <w:tc>
          <w:tcPr>
            <w:tcW w:type="dxa" w:w="4781"/>
            <w:vAlign w:val="center"/>
            <w:tcMar>
              <w:top w:w="45" w:type="dxa"/>
              <w:start w:w="105" w:type="dxa"/>
              <w:bottom w:w="38" w:type="dxa"/>
              <w:end w:w="105" w:type="dxa"/>
            </w:tcMar>
            <w:shd w:fill="F4F7FB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0B7A75"/>
                <w:sz w:val="16"/>
              </w:rPr>
              <w:t>DATA PLACEMENT</w:t>
            </w:r>
          </w:p>
        </w:tc>
        <w:tc>
          <w:tcPr>
            <w:tcW w:type="dxa" w:w="5040"/>
            <w:vAlign w:val="center"/>
            <w:tcMar>
              <w:top w:w="45" w:type="dxa"/>
              <w:start w:w="105" w:type="dxa"/>
              <w:bottom w:w="38" w:type="dxa"/>
              <w:end w:w="105" w:type="dxa"/>
            </w:tcMar>
            <w:shd w:fill="F4F7FB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B86A00"/>
                <w:sz w:val="16"/>
              </w:rPr>
              <w:t>CONTROL, TOOLS &amp; SAFETY</w:t>
            </w:r>
          </w:p>
        </w:tc>
      </w:tr>
      <w:tr>
        <w:tc>
          <w:tcPr>
            <w:tcW w:type="dxa" w:w="4579"/>
            <w:vAlign w:val="top"/>
            <w:tcMar>
              <w:top w:w="50" w:type="dxa"/>
              <w:start w:w="105" w:type="dxa"/>
              <w:bottom w:w="50" w:type="dxa"/>
              <w:end w:w="105" w:type="dxa"/>
            </w:tcMar>
            <w:shd w:fill="FFFFFF"/>
          </w:tcPr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06BB5"/>
                <w:sz w:val="13"/>
              </w:rPr>
              <w:t xml:space="preserve">1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Optionally upload a JD; review editable panel and rubric recommendations.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06BB5"/>
                <w:sz w:val="13"/>
              </w:rPr>
              <w:t xml:space="preserve">2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Backend mints short RTC/RTM tokens and starts one Agora agent.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06BB5"/>
                <w:sz w:val="13"/>
              </w:rPr>
              <w:t xml:space="preserve">3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Speech/barge-in stays in Agora; managed STT yields the final turn.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06BB5"/>
                <w:sz w:val="13"/>
              </w:rPr>
              <w:t xml:space="preserve">4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Custom LLM callback scores all roles; Director selects exactly one.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06BB5"/>
                <w:sz w:val="13"/>
              </w:rPr>
              <w:t xml:space="preserve">5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Winner may use allowed tools; reply streams through Agora managed TTS.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06BB5"/>
                <w:sz w:val="13"/>
              </w:rPr>
              <w:t xml:space="preserve">6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RTM turns and webhook history reconcile; the assessor creates evidence-linked scores and drills.</w:t>
            </w:r>
          </w:p>
        </w:tc>
        <w:tc>
          <w:tcPr>
            <w:tcW w:type="dxa" w:w="4781"/>
            <w:vAlign w:val="top"/>
            <w:tcMar>
              <w:top w:w="50" w:type="dxa"/>
              <w:start w:w="105" w:type="dxa"/>
              <w:bottom w:w="50" w:type="dxa"/>
              <w:end w:w="105" w:type="dxa"/>
            </w:tcMar>
            <w:shd w:fill="FFFFFF"/>
          </w:tcPr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B7A75"/>
                <w:sz w:val="13"/>
              </w:rPr>
              <w:t xml:space="preserve">DB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Supabase Postgres: users, prompt versions, panel snapshots, sessions, turns, tool runs, evidence, scores and replay drills.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B7A75"/>
                <w:sz w:val="13"/>
              </w:rPr>
              <w:t xml:space="preserve">RAG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pgvector: optional JD, resume, company/product context, case and rubric chunks.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B7A75"/>
                <w:sz w:val="13"/>
              </w:rPr>
              <w:t xml:space="preserve">LIVE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Agora RTM carries transcript, speaker state, latency and errors; Postgres keeps durable panel memory and audit events.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B7A75"/>
                <w:sz w:val="13"/>
              </w:rPr>
              <w:t xml:space="preserve">FILE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Private Supabase Storage: JD/resume uploads, reports and optional session artifacts. Recording is off by default.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0B7A75"/>
                <w:sz w:val="13"/>
              </w:rPr>
              <w:t xml:space="preserve">KEY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Transcript truth is keyed by Agora turn_id plus panelist_id; interrupted drafts remain visible but are never final score evidence.</w:t>
            </w:r>
          </w:p>
        </w:tc>
        <w:tc>
          <w:tcPr>
            <w:tcW w:type="dxa" w:w="5040"/>
            <w:vAlign w:val="top"/>
            <w:tcMar>
              <w:top w:w="50" w:type="dxa"/>
              <w:start w:w="105" w:type="dxa"/>
              <w:bottom w:w="50" w:type="dxa"/>
              <w:end w:w="105" w:type="dxa"/>
            </w:tcMar>
            <w:shd w:fill="FFFFFF"/>
          </w:tcPr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B86A00"/>
                <w:sz w:val="13"/>
              </w:rPr>
              <w:t xml:space="preserve">TOOLS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Typed and role-scoped: JD knowledge search, current web facts, safe calculator, evidence bookmark and replay drill.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B86A00"/>
                <w:sz w:val="13"/>
              </w:rPr>
              <w:t xml:space="preserve">PROMPT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Built-ins are immutable: Select uses one, Edit forks a version and New creates a candidate-owned prompt.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B86A00"/>
                <w:sz w:val="13"/>
              </w:rPr>
              <w:t xml:space="preserve">SCORE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No human escalation. Uncertainty becomes an adaptive probe, insufficient_evidence, or a replay drill.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B86A00"/>
                <w:sz w:val="13"/>
              </w:rPr>
              <w:t xml:space="preserve">SEC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JWT + RLS, short-lived Agora tokens, server-only App Certificate, bearer-authenticated /llm, HMAC-SHA256 webhooks + noticeId dedupe.</w:t>
            </w:r>
          </w:p>
          <w:p>
            <w:pPr>
              <w:spacing w:before="0" w:after="32" w:line="240" w:lineRule="auto"/>
              <w:ind w:left="0" w:firstLine="0"/>
            </w:pPr>
            <w:r>
              <w:rPr>
                <w:rFonts w:ascii="Calibri" w:hAnsi="Calibri"/>
                <w:b/>
                <w:i w:val="0"/>
                <w:color w:val="B86A00"/>
                <w:sz w:val="13"/>
              </w:rPr>
              <w:t xml:space="preserve">OPS  </w:t>
            </w:r>
            <w:r>
              <w:rPr>
                <w:rFonts w:ascii="Calibri" w:hAnsi="Calibri"/>
                <w:b w:val="0"/>
                <w:i w:val="0"/>
                <w:color w:val="132238"/>
                <w:sz w:val="13"/>
              </w:rPr>
              <w:t>Vercel web + Cloud Run API; Agora state/latency/error events, signed URLs, retention controls and independent CI/CD.</w:t>
            </w:r>
          </w:p>
        </w:tc>
      </w:tr>
    </w:tbl>
    <w:p>
      <w:pPr>
        <w:spacing w:before="60" w:after="0" w:line="240" w:lineRule="auto"/>
      </w:pPr>
      <w:r>
        <w:rPr>
          <w:rFonts w:ascii="Calibri" w:hAnsi="Calibri"/>
          <w:b/>
          <w:i w:val="0"/>
          <w:color w:val="526377"/>
          <w:sz w:val="12"/>
        </w:rPr>
        <w:t xml:space="preserve">OFFICIAL AGORA BASIS  </w:t>
      </w:r>
      <w:r>
        <w:rPr>
          <w:rFonts w:ascii="Calibri" w:hAnsi="Calibri"/>
          <w:b w:val="0"/>
          <w:i w:val="0"/>
          <w:color w:val="526377"/>
          <w:sz w:val="12"/>
        </w:rPr>
        <w:t>Managed mode  |  Custom LLM  |  Live transcripts  |  RTM state  |  Webhooks  |  Verified against current official documentation on 31 Aug 2026.</w:t>
      </w:r>
    </w:p>
    <w:sectPr w:rsidR="00FC693F" w:rsidRPr="0006063C" w:rsidSect="00034616">
      <w:headerReference w:type="default" r:id="rId9"/>
      <w:pgSz w:w="15840" w:h="12240" w:orient="landscape"/>
      <w:pgMar w:top="605" w:right="662" w:bottom="490" w:left="662" w:header="216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4328" w:val="left"/>
      </w:tabs>
      <w:spacing w:before="0" w:after="0" w:line="240" w:lineRule="auto"/>
      <w:pBdr>
        <w:bottom w:val="single" w:sz="10" w:space="3" w:color="099DFD"/>
      </w:pBdr>
    </w:pPr>
    <w:r>
      <w:rPr>
        <w:rFonts w:ascii="Calibri" w:hAnsi="Calibri"/>
        <w:b/>
        <w:i w:val="0"/>
        <w:color w:val="006BB5"/>
        <w:sz w:val="14"/>
      </w:rPr>
      <w:t>ARCHITECTURE BRIEF</w:t>
    </w:r>
    <w:r>
      <w:rPr>
        <w:rFonts w:ascii="Calibri" w:hAnsi="Calibri"/>
        <w:b/>
        <w:i w:val="0"/>
        <w:color w:val="526377"/>
        <w:sz w:val="14"/>
      </w:rPr>
      <w:tab/>
      <w:t>ECHOSPHERE · ROUND 3 · 31 AUG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2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yperlink" Target="https://docs.agora.io/en/ai/build/custom-model-integration/managed-mode" TargetMode="External"/><Relationship Id="rId12" Type="http://schemas.openxmlformats.org/officeDocument/2006/relationships/hyperlink" Target="https://docs.agora.io/en/ai/build/custom-model-integration/custom-llm" TargetMode="External"/><Relationship Id="rId13" Type="http://schemas.openxmlformats.org/officeDocument/2006/relationships/hyperlink" Target="https://docs.agora.io/en/ai/build/transcripts" TargetMode="External"/><Relationship Id="rId14" Type="http://schemas.openxmlformats.org/officeDocument/2006/relationships/hyperlink" Target="https://docs.agora.io/en/ai/build/shape-the-conversation/short-term-memory" TargetMode="External"/><Relationship Id="rId15" Type="http://schemas.openxmlformats.org/officeDocument/2006/relationships/hyperlink" Target="https://docs.agora.io/en/ai/build/handle-runtime-events/webhooks" TargetMode="External"/><Relationship Id="rId16" Type="http://schemas.openxmlformats.org/officeDocument/2006/relationships/hyperlink" Target="https://docs.agora.io/en/ai/best-practices/record-agent-convers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RoundCraft | Agora-First Backend Architecture</dc:title>
  <dc:subject>One-page backend architecture for the EchoSphere Round 3 Agora hackathon product</dc:subject>
  <dc:creator>RoundCraft</dc:creator>
  <cp:keywords>Agora, Conversational AI, backend architecture, interview panel, RoundCraft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