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9BA34" w14:textId="62456C3B" w:rsidR="003359DA" w:rsidRPr="00104DC8" w:rsidRDefault="003359DA" w:rsidP="003359DA">
      <w:pPr>
        <w:bidi w:val="0"/>
        <w:jc w:val="center"/>
        <w:rPr>
          <w:rFonts w:ascii="David" w:hAnsi="David" w:cs="David"/>
          <w:b/>
          <w:bCs/>
          <w:sz w:val="52"/>
          <w:szCs w:val="52"/>
          <w:u w:val="single"/>
        </w:rPr>
      </w:pPr>
      <w:r w:rsidRPr="00104DC8">
        <w:rPr>
          <w:rFonts w:ascii="David" w:hAnsi="David" w:cs="David"/>
          <w:b/>
          <w:bCs/>
          <w:sz w:val="52"/>
          <w:szCs w:val="52"/>
          <w:u w:val="single"/>
        </w:rPr>
        <w:t>Assessment of Psychiatric Ward Distribution and Treatment Centers in Israel: Impact on Casualties during the "</w:t>
      </w:r>
      <w:proofErr w:type="spellStart"/>
      <w:r w:rsidRPr="00104DC8">
        <w:rPr>
          <w:rFonts w:ascii="David" w:hAnsi="David" w:cs="David"/>
          <w:b/>
          <w:bCs/>
          <w:sz w:val="52"/>
          <w:szCs w:val="52"/>
          <w:u w:val="single"/>
        </w:rPr>
        <w:t>Haravot</w:t>
      </w:r>
      <w:proofErr w:type="spellEnd"/>
      <w:r w:rsidRPr="00104DC8">
        <w:rPr>
          <w:rFonts w:ascii="David" w:hAnsi="David" w:cs="David"/>
          <w:b/>
          <w:bCs/>
          <w:sz w:val="52"/>
          <w:szCs w:val="52"/>
          <w:u w:val="single"/>
        </w:rPr>
        <w:t xml:space="preserve"> </w:t>
      </w:r>
      <w:proofErr w:type="spellStart"/>
      <w:r w:rsidRPr="00104DC8">
        <w:rPr>
          <w:rFonts w:ascii="David" w:hAnsi="David" w:cs="David"/>
          <w:b/>
          <w:bCs/>
          <w:sz w:val="52"/>
          <w:szCs w:val="52"/>
          <w:u w:val="single"/>
        </w:rPr>
        <w:t>Barzel</w:t>
      </w:r>
      <w:proofErr w:type="spellEnd"/>
      <w:r w:rsidRPr="00104DC8">
        <w:rPr>
          <w:rFonts w:ascii="David" w:hAnsi="David" w:cs="David"/>
          <w:b/>
          <w:bCs/>
          <w:sz w:val="52"/>
          <w:szCs w:val="52"/>
          <w:u w:val="single"/>
        </w:rPr>
        <w:t>"</w:t>
      </w:r>
      <w:r w:rsidR="00E85314">
        <w:rPr>
          <w:rFonts w:ascii="David" w:hAnsi="David" w:cs="David"/>
          <w:b/>
          <w:bCs/>
          <w:sz w:val="52"/>
          <w:szCs w:val="52"/>
          <w:u w:val="single"/>
        </w:rPr>
        <w:t xml:space="preserve"> war</w:t>
      </w:r>
    </w:p>
    <w:p w14:paraId="0DF9133A" w14:textId="77777777" w:rsidR="003359DA" w:rsidRPr="00104DC8" w:rsidRDefault="003359DA" w:rsidP="003359DA">
      <w:pPr>
        <w:bidi w:val="0"/>
        <w:jc w:val="center"/>
        <w:rPr>
          <w:rFonts w:ascii="David" w:hAnsi="David" w:cs="David"/>
          <w:sz w:val="36"/>
          <w:szCs w:val="36"/>
          <w:u w:val="single"/>
        </w:rPr>
      </w:pPr>
    </w:p>
    <w:p w14:paraId="26AF5309" w14:textId="77777777" w:rsidR="003359DA" w:rsidRPr="00104DC8" w:rsidRDefault="003359DA" w:rsidP="003359DA">
      <w:pPr>
        <w:bidi w:val="0"/>
        <w:jc w:val="center"/>
        <w:rPr>
          <w:rFonts w:ascii="David" w:hAnsi="David" w:cs="David"/>
          <w:sz w:val="36"/>
          <w:szCs w:val="36"/>
          <w:u w:val="single"/>
        </w:rPr>
      </w:pPr>
    </w:p>
    <w:p w14:paraId="31F293DD" w14:textId="77777777" w:rsidR="003359DA" w:rsidRPr="00104DC8" w:rsidRDefault="003359DA" w:rsidP="003359DA">
      <w:pPr>
        <w:bidi w:val="0"/>
        <w:jc w:val="center"/>
        <w:rPr>
          <w:rFonts w:ascii="David" w:hAnsi="David" w:cs="David"/>
          <w:sz w:val="36"/>
          <w:szCs w:val="36"/>
          <w:u w:val="single"/>
        </w:rPr>
      </w:pPr>
    </w:p>
    <w:p w14:paraId="443012BC" w14:textId="0EBDEE56" w:rsidR="003359DA" w:rsidRPr="00104DC8" w:rsidRDefault="003359DA" w:rsidP="003359DA">
      <w:pPr>
        <w:bidi w:val="0"/>
        <w:jc w:val="center"/>
        <w:rPr>
          <w:rFonts w:ascii="David" w:hAnsi="David" w:cs="David"/>
          <w:sz w:val="36"/>
          <w:szCs w:val="36"/>
          <w:u w:val="single"/>
        </w:rPr>
      </w:pPr>
    </w:p>
    <w:p w14:paraId="0438E826" w14:textId="77777777" w:rsidR="003359DA" w:rsidRPr="00104DC8" w:rsidRDefault="003359DA" w:rsidP="003359DA">
      <w:pPr>
        <w:bidi w:val="0"/>
        <w:jc w:val="center"/>
        <w:rPr>
          <w:rFonts w:ascii="David" w:hAnsi="David" w:cs="David"/>
          <w:sz w:val="36"/>
          <w:szCs w:val="36"/>
          <w:u w:val="single"/>
        </w:rPr>
      </w:pPr>
    </w:p>
    <w:p w14:paraId="2B148298" w14:textId="77777777" w:rsidR="003359DA" w:rsidRPr="00104DC8" w:rsidRDefault="003359DA" w:rsidP="003359DA">
      <w:pPr>
        <w:bidi w:val="0"/>
        <w:jc w:val="center"/>
        <w:rPr>
          <w:rFonts w:ascii="David" w:hAnsi="David" w:cs="David"/>
          <w:sz w:val="36"/>
          <w:szCs w:val="36"/>
          <w:u w:val="single"/>
        </w:rPr>
      </w:pPr>
    </w:p>
    <w:p w14:paraId="36005FDD" w14:textId="77777777" w:rsidR="003359DA" w:rsidRPr="00104DC8" w:rsidRDefault="003359DA" w:rsidP="003359DA">
      <w:pPr>
        <w:bidi w:val="0"/>
        <w:jc w:val="center"/>
        <w:rPr>
          <w:rFonts w:ascii="David" w:hAnsi="David" w:cs="David"/>
          <w:sz w:val="36"/>
          <w:szCs w:val="36"/>
          <w:u w:val="single"/>
        </w:rPr>
      </w:pPr>
    </w:p>
    <w:p w14:paraId="59B4DB4C" w14:textId="77777777" w:rsidR="003359DA" w:rsidRPr="00104DC8" w:rsidRDefault="003359DA" w:rsidP="003359DA">
      <w:pPr>
        <w:bidi w:val="0"/>
        <w:jc w:val="center"/>
        <w:rPr>
          <w:rFonts w:ascii="David" w:hAnsi="David" w:cs="David"/>
          <w:sz w:val="36"/>
          <w:szCs w:val="36"/>
          <w:u w:val="single"/>
        </w:rPr>
      </w:pPr>
    </w:p>
    <w:p w14:paraId="683E4BB4" w14:textId="77777777" w:rsidR="003359DA" w:rsidRPr="00104DC8" w:rsidRDefault="003359DA" w:rsidP="003359DA">
      <w:pPr>
        <w:bidi w:val="0"/>
        <w:jc w:val="center"/>
        <w:rPr>
          <w:rFonts w:ascii="David" w:hAnsi="David" w:cs="David"/>
          <w:sz w:val="36"/>
          <w:szCs w:val="36"/>
          <w:u w:val="single"/>
          <w:rtl/>
        </w:rPr>
      </w:pPr>
    </w:p>
    <w:p w14:paraId="433CE993" w14:textId="45B74247" w:rsidR="003359DA" w:rsidRPr="00104DC8" w:rsidRDefault="003359DA" w:rsidP="003359DA">
      <w:pPr>
        <w:bidi w:val="0"/>
        <w:jc w:val="center"/>
        <w:rPr>
          <w:rFonts w:ascii="David" w:hAnsi="David" w:cs="David"/>
          <w:b/>
          <w:bCs/>
          <w:sz w:val="22"/>
          <w:szCs w:val="22"/>
        </w:rPr>
      </w:pPr>
      <w:r w:rsidRPr="00104DC8">
        <w:rPr>
          <w:rFonts w:ascii="David" w:hAnsi="David" w:cs="David"/>
          <w:b/>
          <w:bCs/>
          <w:sz w:val="22"/>
          <w:szCs w:val="22"/>
        </w:rPr>
        <w:t>Amit Fallach</w:t>
      </w:r>
    </w:p>
    <w:p w14:paraId="369BCABB" w14:textId="64EABB52" w:rsidR="003359DA" w:rsidRPr="00104DC8" w:rsidRDefault="003359DA" w:rsidP="003359DA">
      <w:pPr>
        <w:bidi w:val="0"/>
        <w:jc w:val="center"/>
        <w:rPr>
          <w:rFonts w:ascii="David" w:hAnsi="David" w:cs="David"/>
          <w:b/>
          <w:bCs/>
          <w:sz w:val="22"/>
          <w:szCs w:val="22"/>
        </w:rPr>
      </w:pPr>
      <w:r w:rsidRPr="00104DC8">
        <w:rPr>
          <w:rFonts w:ascii="David" w:hAnsi="David" w:cs="David"/>
          <w:b/>
          <w:bCs/>
          <w:sz w:val="22"/>
          <w:szCs w:val="22"/>
        </w:rPr>
        <w:t xml:space="preserve">GitHub - </w:t>
      </w:r>
      <w:hyperlink r:id="rId7" w:history="1">
        <w:r w:rsidRPr="00104DC8">
          <w:rPr>
            <w:rStyle w:val="Hyperlink"/>
            <w:rFonts w:ascii="David" w:hAnsi="David" w:cs="David"/>
            <w:b/>
            <w:bCs/>
            <w:sz w:val="22"/>
            <w:szCs w:val="22"/>
          </w:rPr>
          <w:t>https://github.com/amitfallach</w:t>
        </w:r>
      </w:hyperlink>
    </w:p>
    <w:p w14:paraId="1AE3B75A" w14:textId="35F1AE0B" w:rsidR="003359DA" w:rsidRPr="00104DC8" w:rsidRDefault="003359DA" w:rsidP="003359DA">
      <w:pPr>
        <w:bidi w:val="0"/>
        <w:jc w:val="center"/>
        <w:rPr>
          <w:rFonts w:ascii="David" w:hAnsi="David" w:cs="David"/>
          <w:b/>
          <w:bCs/>
          <w:sz w:val="22"/>
          <w:szCs w:val="22"/>
        </w:rPr>
      </w:pPr>
      <w:proofErr w:type="spellStart"/>
      <w:r w:rsidRPr="00104DC8">
        <w:rPr>
          <w:rFonts w:ascii="David" w:hAnsi="David" w:cs="David"/>
          <w:b/>
          <w:bCs/>
          <w:sz w:val="22"/>
          <w:szCs w:val="22"/>
        </w:rPr>
        <w:t>Linkedin</w:t>
      </w:r>
      <w:proofErr w:type="spellEnd"/>
      <w:r w:rsidRPr="00104DC8">
        <w:rPr>
          <w:rFonts w:ascii="David" w:hAnsi="David" w:cs="David"/>
          <w:b/>
          <w:bCs/>
          <w:sz w:val="22"/>
          <w:szCs w:val="22"/>
        </w:rPr>
        <w:t xml:space="preserve"> - </w:t>
      </w:r>
      <w:hyperlink r:id="rId8" w:history="1">
        <w:r w:rsidRPr="00104DC8">
          <w:rPr>
            <w:rStyle w:val="Hyperlink"/>
            <w:rFonts w:ascii="David" w:hAnsi="David" w:cs="David"/>
            <w:b/>
            <w:bCs/>
            <w:sz w:val="22"/>
            <w:szCs w:val="22"/>
          </w:rPr>
          <w:t>https://www.linkedin.com/in/amitfallach/</w:t>
        </w:r>
      </w:hyperlink>
    </w:p>
    <w:p w14:paraId="17CF2A6A" w14:textId="77777777" w:rsidR="003359DA" w:rsidRPr="00104DC8" w:rsidRDefault="003359DA" w:rsidP="003359DA">
      <w:pPr>
        <w:bidi w:val="0"/>
        <w:rPr>
          <w:rFonts w:ascii="David" w:hAnsi="David" w:cs="David"/>
          <w:u w:val="single"/>
        </w:rPr>
      </w:pPr>
    </w:p>
    <w:p w14:paraId="2B543C1E" w14:textId="77777777" w:rsidR="003359DA" w:rsidRPr="00104DC8" w:rsidRDefault="003359DA" w:rsidP="003359DA">
      <w:pPr>
        <w:bidi w:val="0"/>
        <w:rPr>
          <w:rFonts w:ascii="David" w:hAnsi="David" w:cs="David"/>
          <w:u w:val="single"/>
        </w:rPr>
      </w:pPr>
    </w:p>
    <w:p w14:paraId="7C378C5E" w14:textId="77777777" w:rsidR="003359DA" w:rsidRPr="00104DC8" w:rsidRDefault="003359DA" w:rsidP="003359DA">
      <w:pPr>
        <w:bidi w:val="0"/>
        <w:rPr>
          <w:rFonts w:ascii="David" w:hAnsi="David" w:cs="David"/>
          <w:u w:val="single"/>
        </w:rPr>
      </w:pPr>
    </w:p>
    <w:p w14:paraId="7411FC56" w14:textId="77777777" w:rsidR="003359DA" w:rsidRPr="00104DC8" w:rsidRDefault="003359DA" w:rsidP="003359DA">
      <w:pPr>
        <w:bidi w:val="0"/>
        <w:rPr>
          <w:rFonts w:ascii="David" w:hAnsi="David" w:cs="David"/>
          <w:u w:val="single"/>
        </w:rPr>
      </w:pPr>
    </w:p>
    <w:p w14:paraId="46E025DE" w14:textId="77777777" w:rsidR="003359DA" w:rsidRPr="00104DC8" w:rsidRDefault="003359DA" w:rsidP="003359DA">
      <w:pPr>
        <w:bidi w:val="0"/>
        <w:rPr>
          <w:rFonts w:ascii="David" w:hAnsi="David" w:cs="David"/>
          <w:u w:val="single"/>
        </w:rPr>
      </w:pPr>
    </w:p>
    <w:p w14:paraId="0C43F00C" w14:textId="77777777" w:rsidR="00104DC8" w:rsidRDefault="00104DC8" w:rsidP="003359DA">
      <w:pPr>
        <w:bidi w:val="0"/>
        <w:rPr>
          <w:rFonts w:ascii="David" w:hAnsi="David" w:cs="David"/>
          <w:b/>
          <w:bCs/>
          <w:u w:val="single"/>
        </w:rPr>
      </w:pPr>
    </w:p>
    <w:p w14:paraId="6FE3B5A3" w14:textId="77777777" w:rsidR="00104DC8" w:rsidRDefault="00104DC8" w:rsidP="00104DC8">
      <w:pPr>
        <w:bidi w:val="0"/>
        <w:rPr>
          <w:rFonts w:ascii="David" w:hAnsi="David" w:cs="David"/>
          <w:b/>
          <w:bCs/>
          <w:u w:val="single"/>
        </w:rPr>
      </w:pPr>
    </w:p>
    <w:p w14:paraId="0387BC13" w14:textId="77777777" w:rsidR="00104DC8" w:rsidRDefault="00104DC8" w:rsidP="00104DC8">
      <w:pPr>
        <w:bidi w:val="0"/>
        <w:rPr>
          <w:rFonts w:ascii="David" w:hAnsi="David" w:cs="David"/>
          <w:b/>
          <w:bCs/>
          <w:u w:val="single"/>
        </w:rPr>
      </w:pPr>
    </w:p>
    <w:p w14:paraId="7F6BE173" w14:textId="77777777" w:rsidR="00104DC8" w:rsidRDefault="00104DC8" w:rsidP="00104DC8">
      <w:pPr>
        <w:bidi w:val="0"/>
        <w:rPr>
          <w:rFonts w:ascii="David" w:hAnsi="David" w:cs="David"/>
          <w:b/>
          <w:bCs/>
          <w:u w:val="single"/>
        </w:rPr>
      </w:pPr>
    </w:p>
    <w:p w14:paraId="7ECC88DD" w14:textId="77777777" w:rsidR="00104DC8" w:rsidRDefault="00104DC8" w:rsidP="00104DC8">
      <w:pPr>
        <w:bidi w:val="0"/>
        <w:rPr>
          <w:rFonts w:ascii="David" w:hAnsi="David" w:cs="David"/>
          <w:b/>
          <w:bCs/>
          <w:u w:val="single"/>
        </w:rPr>
      </w:pPr>
    </w:p>
    <w:p w14:paraId="5BB4CB53" w14:textId="77777777" w:rsidR="00104DC8" w:rsidRDefault="00104DC8" w:rsidP="00104DC8">
      <w:pPr>
        <w:bidi w:val="0"/>
        <w:rPr>
          <w:rFonts w:ascii="David" w:hAnsi="David" w:cs="David"/>
          <w:b/>
          <w:bCs/>
          <w:u w:val="single"/>
        </w:rPr>
      </w:pPr>
    </w:p>
    <w:p w14:paraId="24D6E0C4" w14:textId="77777777" w:rsidR="00104DC8" w:rsidRDefault="00104DC8" w:rsidP="00104DC8">
      <w:pPr>
        <w:bidi w:val="0"/>
        <w:rPr>
          <w:rFonts w:ascii="David" w:hAnsi="David" w:cs="David"/>
          <w:b/>
          <w:bCs/>
          <w:u w:val="single"/>
        </w:rPr>
      </w:pPr>
    </w:p>
    <w:p w14:paraId="0C57E54E" w14:textId="41E90E50" w:rsidR="003359DA" w:rsidRPr="00104DC8" w:rsidRDefault="003359DA" w:rsidP="00104DC8">
      <w:pPr>
        <w:bidi w:val="0"/>
        <w:rPr>
          <w:rFonts w:ascii="David" w:hAnsi="David" w:cs="David"/>
          <w:b/>
          <w:bCs/>
          <w:u w:val="single"/>
        </w:rPr>
      </w:pPr>
      <w:r w:rsidRPr="00104DC8">
        <w:rPr>
          <w:rFonts w:ascii="David" w:hAnsi="David" w:cs="David"/>
          <w:b/>
          <w:bCs/>
          <w:u w:val="single"/>
        </w:rPr>
        <w:lastRenderedPageBreak/>
        <w:t>Part 1: Problem Definition</w:t>
      </w:r>
    </w:p>
    <w:p w14:paraId="230489CD" w14:textId="77777777" w:rsidR="003359DA" w:rsidRPr="00104DC8" w:rsidRDefault="003359DA" w:rsidP="003359DA">
      <w:pPr>
        <w:jc w:val="right"/>
        <w:rPr>
          <w:rFonts w:ascii="David" w:hAnsi="David" w:cs="David"/>
          <w:rtl/>
        </w:rPr>
      </w:pPr>
    </w:p>
    <w:p w14:paraId="7046B754" w14:textId="3DC4BDE8" w:rsidR="003359DA" w:rsidRPr="00104DC8" w:rsidRDefault="003359DA" w:rsidP="003359DA">
      <w:pPr>
        <w:bidi w:val="0"/>
        <w:rPr>
          <w:rFonts w:ascii="David" w:hAnsi="David" w:cs="David"/>
          <w:sz w:val="22"/>
          <w:szCs w:val="22"/>
        </w:rPr>
      </w:pPr>
      <w:r w:rsidRPr="00104DC8">
        <w:rPr>
          <w:rFonts w:ascii="David" w:hAnsi="David" w:cs="David"/>
          <w:sz w:val="22"/>
          <w:szCs w:val="22"/>
        </w:rPr>
        <w:t>The ongoing war since October 7th has resulted in approximately 16,500 casualties among soldiers and civilians in Israel. In such times of adversity, every injured individual in Israel has the option to receive psychological support and diagnosis if needed. This study aims to investigate the relationship between the distribution of casualties by region during the Iron Swords War and the availability of psychiatric wards and treatment centers. The goal is to identify areas where casualties are disproportionately high relative to the availability of mental health resources. Preparing in advance can facilitate rehabilitation and the restoration of normalcy for victims and the broader public post-war.</w:t>
      </w:r>
    </w:p>
    <w:p w14:paraId="1E2339CB" w14:textId="77777777" w:rsidR="003359DA" w:rsidRPr="00104DC8" w:rsidRDefault="003359DA" w:rsidP="003359DA">
      <w:pPr>
        <w:bidi w:val="0"/>
        <w:rPr>
          <w:rFonts w:ascii="David" w:hAnsi="David" w:cs="David"/>
        </w:rPr>
      </w:pPr>
    </w:p>
    <w:p w14:paraId="0478533F" w14:textId="19ED6D7C" w:rsidR="003359DA" w:rsidRPr="00104DC8" w:rsidRDefault="003359DA" w:rsidP="006E52EA">
      <w:pPr>
        <w:bidi w:val="0"/>
        <w:rPr>
          <w:rFonts w:ascii="David" w:hAnsi="David" w:cs="David"/>
          <w:b/>
          <w:bCs/>
          <w:u w:val="single"/>
        </w:rPr>
      </w:pPr>
      <w:r w:rsidRPr="00104DC8">
        <w:rPr>
          <w:rFonts w:ascii="David" w:hAnsi="David" w:cs="David"/>
          <w:b/>
          <w:bCs/>
          <w:u w:val="single"/>
        </w:rPr>
        <w:t>Part 2: Data Research and Analysis</w:t>
      </w:r>
    </w:p>
    <w:p w14:paraId="171E3EA1" w14:textId="77777777" w:rsidR="003359DA" w:rsidRPr="00104DC8" w:rsidRDefault="003359DA" w:rsidP="003359DA">
      <w:pPr>
        <w:bidi w:val="0"/>
        <w:rPr>
          <w:rFonts w:ascii="David" w:hAnsi="David" w:cs="David"/>
          <w:rtl/>
        </w:rPr>
      </w:pPr>
    </w:p>
    <w:p w14:paraId="6CC96D09" w14:textId="3505B392" w:rsidR="00E0571A" w:rsidRPr="00104DC8" w:rsidRDefault="003359DA" w:rsidP="00E0571A">
      <w:pPr>
        <w:bidi w:val="0"/>
        <w:rPr>
          <w:rFonts w:ascii="David" w:hAnsi="David" w:cs="David"/>
          <w:sz w:val="22"/>
          <w:szCs w:val="22"/>
        </w:rPr>
      </w:pPr>
      <w:r w:rsidRPr="00104DC8">
        <w:rPr>
          <w:rFonts w:ascii="David" w:hAnsi="David" w:cs="David"/>
          <w:sz w:val="22"/>
          <w:szCs w:val="22"/>
        </w:rPr>
        <w:t>Data was gathered from three primary sources: "counseling"</w:t>
      </w:r>
      <w:r w:rsidR="00E85314">
        <w:rPr>
          <w:rFonts w:ascii="David" w:hAnsi="David" w:cs="David"/>
          <w:sz w:val="22"/>
          <w:szCs w:val="22"/>
        </w:rPr>
        <w:t xml:space="preserve"> </w:t>
      </w:r>
      <w:r w:rsidR="00E85314" w:rsidRPr="00E85314">
        <w:rPr>
          <w:rFonts w:ascii="David" w:hAnsi="David" w:cs="David"/>
          <w:sz w:val="20"/>
          <w:szCs w:val="20"/>
        </w:rPr>
        <w:t>[1]</w:t>
      </w:r>
      <w:r w:rsidRPr="00104DC8">
        <w:rPr>
          <w:rFonts w:ascii="David" w:hAnsi="David" w:cs="David"/>
          <w:sz w:val="22"/>
          <w:szCs w:val="22"/>
        </w:rPr>
        <w:t>, "hospitals"</w:t>
      </w:r>
      <w:r w:rsidR="00E85314">
        <w:rPr>
          <w:rFonts w:ascii="David" w:hAnsi="David" w:cs="David"/>
          <w:sz w:val="22"/>
          <w:szCs w:val="22"/>
        </w:rPr>
        <w:t xml:space="preserve"> </w:t>
      </w:r>
      <w:r w:rsidR="00E85314" w:rsidRPr="00E85314">
        <w:rPr>
          <w:rFonts w:ascii="David" w:hAnsi="David" w:cs="David"/>
          <w:sz w:val="20"/>
          <w:szCs w:val="20"/>
        </w:rPr>
        <w:t>[2]</w:t>
      </w:r>
      <w:r w:rsidRPr="00104DC8">
        <w:rPr>
          <w:rFonts w:ascii="David" w:hAnsi="David" w:cs="David"/>
          <w:sz w:val="22"/>
          <w:szCs w:val="22"/>
        </w:rPr>
        <w:t>, and "casualties"</w:t>
      </w:r>
      <w:r w:rsidR="00E85314">
        <w:rPr>
          <w:rFonts w:ascii="David" w:hAnsi="David" w:cs="David"/>
          <w:sz w:val="22"/>
          <w:szCs w:val="22"/>
        </w:rPr>
        <w:t xml:space="preserve"> </w:t>
      </w:r>
      <w:r w:rsidR="00E85314" w:rsidRPr="00E85314">
        <w:rPr>
          <w:rFonts w:ascii="David" w:hAnsi="David" w:cs="David"/>
          <w:sz w:val="20"/>
          <w:szCs w:val="20"/>
        </w:rPr>
        <w:t>[3]</w:t>
      </w:r>
      <w:r w:rsidRPr="00E85314">
        <w:rPr>
          <w:rFonts w:ascii="David" w:hAnsi="David" w:cs="David"/>
          <w:sz w:val="20"/>
          <w:szCs w:val="20"/>
        </w:rPr>
        <w:t xml:space="preserve"> </w:t>
      </w:r>
      <w:r w:rsidRPr="00104DC8">
        <w:rPr>
          <w:rFonts w:ascii="David" w:hAnsi="David" w:cs="David"/>
          <w:sz w:val="22"/>
          <w:szCs w:val="22"/>
        </w:rPr>
        <w:t>datasets obtained from credible sources such as the Ministry of Health and government databases. These datasets include information on counseling centers for families of mentally injured individuals, psychiatric hospitals, psychiatric wards within general hospitals, and total casualties in the "</w:t>
      </w:r>
      <w:proofErr w:type="spellStart"/>
      <w:r w:rsidRPr="00104DC8">
        <w:rPr>
          <w:rFonts w:ascii="David" w:hAnsi="David" w:cs="David"/>
          <w:sz w:val="22"/>
          <w:szCs w:val="22"/>
        </w:rPr>
        <w:t>Harvot</w:t>
      </w:r>
      <w:proofErr w:type="spellEnd"/>
      <w:r w:rsidRPr="00104DC8">
        <w:rPr>
          <w:rFonts w:ascii="David" w:hAnsi="David" w:cs="David"/>
          <w:sz w:val="22"/>
          <w:szCs w:val="22"/>
        </w:rPr>
        <w:t xml:space="preserve"> </w:t>
      </w:r>
      <w:proofErr w:type="spellStart"/>
      <w:r w:rsidRPr="00104DC8">
        <w:rPr>
          <w:rFonts w:ascii="David" w:hAnsi="David" w:cs="David"/>
          <w:sz w:val="22"/>
          <w:szCs w:val="22"/>
        </w:rPr>
        <w:t>Barzel</w:t>
      </w:r>
      <w:proofErr w:type="spellEnd"/>
      <w:r w:rsidRPr="00104DC8">
        <w:rPr>
          <w:rFonts w:ascii="David" w:hAnsi="David" w:cs="David"/>
          <w:sz w:val="22"/>
          <w:szCs w:val="22"/>
        </w:rPr>
        <w:t>" war categorized by districts. The analysis is based on the most recent data available up to the current date.</w:t>
      </w:r>
    </w:p>
    <w:p w14:paraId="21059F74" w14:textId="3B4FC065" w:rsidR="00E0571A" w:rsidRPr="00104DC8" w:rsidRDefault="00E0571A" w:rsidP="00E0571A">
      <w:pPr>
        <w:pStyle w:val="a9"/>
        <w:numPr>
          <w:ilvl w:val="0"/>
          <w:numId w:val="3"/>
        </w:numPr>
        <w:bidi w:val="0"/>
        <w:rPr>
          <w:rFonts w:ascii="David" w:hAnsi="David" w:cs="David"/>
          <w:sz w:val="22"/>
          <w:szCs w:val="22"/>
        </w:rPr>
      </w:pPr>
      <w:r w:rsidRPr="00104DC8">
        <w:rPr>
          <w:rFonts w:ascii="David" w:hAnsi="David" w:cs="David"/>
          <w:b/>
          <w:bCs/>
        </w:rPr>
        <w:t>Counseling Centers by District</w:t>
      </w:r>
      <w:r w:rsidRPr="00104DC8">
        <w:rPr>
          <w:rFonts w:ascii="David" w:hAnsi="David" w:cs="David"/>
        </w:rPr>
        <w:t xml:space="preserve">: </w:t>
      </w:r>
      <w:r w:rsidRPr="00104DC8">
        <w:rPr>
          <w:rFonts w:ascii="David" w:hAnsi="David" w:cs="David"/>
          <w:sz w:val="22"/>
          <w:szCs w:val="22"/>
        </w:rPr>
        <w:t>Districts with the highest number of mental health centers are Jerusalem, Hadera, and Petah Tikva.</w:t>
      </w:r>
    </w:p>
    <w:p w14:paraId="65BF9B2A" w14:textId="77777777" w:rsidR="000920AA" w:rsidRDefault="000920AA" w:rsidP="006E52EA">
      <w:pPr>
        <w:pStyle w:val="a9"/>
        <w:bidi w:val="0"/>
        <w:rPr>
          <w:rFonts w:ascii="David" w:hAnsi="David" w:cs="David"/>
          <w:noProof/>
        </w:rPr>
      </w:pPr>
    </w:p>
    <w:p w14:paraId="4E4ADF6A" w14:textId="72168A2B" w:rsidR="00104DC8" w:rsidRPr="006E52EA" w:rsidRDefault="00E0571A" w:rsidP="000920AA">
      <w:pPr>
        <w:pStyle w:val="a9"/>
        <w:bidi w:val="0"/>
        <w:rPr>
          <w:rFonts w:ascii="David" w:hAnsi="David" w:cs="David"/>
        </w:rPr>
      </w:pPr>
      <w:r w:rsidRPr="00104DC8">
        <w:rPr>
          <w:rFonts w:ascii="David" w:hAnsi="David" w:cs="David"/>
          <w:noProof/>
        </w:rPr>
        <w:drawing>
          <wp:inline distT="0" distB="0" distL="0" distR="0" wp14:anchorId="03B329EB" wp14:editId="0FD25E84">
            <wp:extent cx="4373880" cy="2584093"/>
            <wp:effectExtent l="0" t="0" r="7620" b="6985"/>
            <wp:docPr id="1694853143" name="תמונה 1" descr="תמונה שמכילה טקסט, צילום מסך, גופ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53143" name="תמונה 1" descr="תמונה שמכילה טקסט, צילום מסך, גופן, תרשים&#10;&#10;התיאור נוצר באופן אוטומטי"/>
                    <pic:cNvPicPr/>
                  </pic:nvPicPr>
                  <pic:blipFill rotWithShape="1">
                    <a:blip r:embed="rId9"/>
                    <a:srcRect l="4143" r="4828"/>
                    <a:stretch/>
                  </pic:blipFill>
                  <pic:spPr bwMode="auto">
                    <a:xfrm>
                      <a:off x="0" y="0"/>
                      <a:ext cx="4434922" cy="2620157"/>
                    </a:xfrm>
                    <a:prstGeom prst="rect">
                      <a:avLst/>
                    </a:prstGeom>
                    <a:ln>
                      <a:noFill/>
                    </a:ln>
                    <a:extLst>
                      <a:ext uri="{53640926-AAD7-44D8-BBD7-CCE9431645EC}">
                        <a14:shadowObscured xmlns:a14="http://schemas.microsoft.com/office/drawing/2010/main"/>
                      </a:ext>
                    </a:extLst>
                  </pic:spPr>
                </pic:pic>
              </a:graphicData>
            </a:graphic>
          </wp:inline>
        </w:drawing>
      </w:r>
    </w:p>
    <w:p w14:paraId="5A5CD9CD" w14:textId="77777777" w:rsidR="00104DC8" w:rsidRDefault="00104DC8" w:rsidP="00104DC8">
      <w:pPr>
        <w:pStyle w:val="a9"/>
        <w:bidi w:val="0"/>
        <w:rPr>
          <w:rFonts w:ascii="David" w:hAnsi="David" w:cs="David"/>
        </w:rPr>
      </w:pPr>
    </w:p>
    <w:p w14:paraId="75589CF6" w14:textId="2969C950" w:rsidR="00E0571A" w:rsidRPr="00104DC8" w:rsidRDefault="00E0571A" w:rsidP="00104DC8">
      <w:pPr>
        <w:pStyle w:val="a9"/>
        <w:numPr>
          <w:ilvl w:val="0"/>
          <w:numId w:val="3"/>
        </w:numPr>
        <w:bidi w:val="0"/>
        <w:rPr>
          <w:rFonts w:ascii="David" w:hAnsi="David" w:cs="David"/>
        </w:rPr>
      </w:pPr>
      <w:r w:rsidRPr="00104DC8">
        <w:rPr>
          <w:rFonts w:ascii="David" w:hAnsi="David" w:cs="David"/>
          <w:b/>
          <w:bCs/>
        </w:rPr>
        <w:t>Hospitals by District</w:t>
      </w:r>
      <w:r w:rsidRPr="00104DC8">
        <w:rPr>
          <w:rFonts w:ascii="David" w:hAnsi="David" w:cs="David"/>
        </w:rPr>
        <w:t xml:space="preserve"> </w:t>
      </w:r>
      <w:r w:rsidRPr="00104DC8">
        <w:rPr>
          <w:rFonts w:ascii="David" w:hAnsi="David" w:cs="David"/>
          <w:sz w:val="22"/>
          <w:szCs w:val="22"/>
        </w:rPr>
        <w:t>: Districts such as Jerusalem and Petah Tikva lead in the number of psychiatric departments in hospitals. In addition, it can be seen that in the districts of Kinneret and Rehovot there is no response to treatment departments adapted to children and minors.</w:t>
      </w:r>
    </w:p>
    <w:p w14:paraId="0AD85595" w14:textId="7F7E4C9B" w:rsidR="006E52EA" w:rsidRPr="000920AA" w:rsidRDefault="00E0571A" w:rsidP="000920AA">
      <w:pPr>
        <w:pStyle w:val="a9"/>
        <w:bidi w:val="0"/>
        <w:rPr>
          <w:rFonts w:ascii="David" w:hAnsi="David" w:cs="David"/>
        </w:rPr>
      </w:pPr>
      <w:r w:rsidRPr="00104DC8">
        <w:rPr>
          <w:rFonts w:ascii="David" w:hAnsi="David" w:cs="David"/>
          <w:noProof/>
        </w:rPr>
        <w:lastRenderedPageBreak/>
        <w:drawing>
          <wp:inline distT="0" distB="0" distL="0" distR="0" wp14:anchorId="62676095" wp14:editId="14BADE71">
            <wp:extent cx="4827877" cy="1946031"/>
            <wp:effectExtent l="0" t="0" r="4445" b="6350"/>
            <wp:docPr id="2577962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96283" name=""/>
                    <pic:cNvPicPr/>
                  </pic:nvPicPr>
                  <pic:blipFill>
                    <a:blip r:embed="rId10"/>
                    <a:stretch>
                      <a:fillRect/>
                    </a:stretch>
                  </pic:blipFill>
                  <pic:spPr>
                    <a:xfrm>
                      <a:off x="0" y="0"/>
                      <a:ext cx="4827877" cy="1946031"/>
                    </a:xfrm>
                    <a:prstGeom prst="rect">
                      <a:avLst/>
                    </a:prstGeom>
                  </pic:spPr>
                </pic:pic>
              </a:graphicData>
            </a:graphic>
          </wp:inline>
        </w:drawing>
      </w:r>
    </w:p>
    <w:p w14:paraId="4EC59C84" w14:textId="77777777" w:rsidR="006E52EA" w:rsidRPr="006E52EA" w:rsidRDefault="006E52EA" w:rsidP="006E52EA">
      <w:pPr>
        <w:pStyle w:val="a9"/>
        <w:bidi w:val="0"/>
        <w:rPr>
          <w:rFonts w:ascii="David" w:hAnsi="David" w:cs="David"/>
        </w:rPr>
      </w:pPr>
    </w:p>
    <w:p w14:paraId="21D3FC99" w14:textId="17B80D06" w:rsidR="00E0571A" w:rsidRPr="00104DC8" w:rsidRDefault="009876EE" w:rsidP="006E52EA">
      <w:pPr>
        <w:pStyle w:val="a9"/>
        <w:numPr>
          <w:ilvl w:val="0"/>
          <w:numId w:val="3"/>
        </w:numPr>
        <w:bidi w:val="0"/>
        <w:rPr>
          <w:rFonts w:ascii="David" w:hAnsi="David" w:cs="David"/>
        </w:rPr>
      </w:pPr>
      <w:r w:rsidRPr="00104DC8">
        <w:rPr>
          <w:rFonts w:ascii="David" w:hAnsi="David" w:cs="David"/>
          <w:b/>
          <w:bCs/>
        </w:rPr>
        <w:t>Casualties</w:t>
      </w:r>
      <w:r w:rsidRPr="00104DC8">
        <w:rPr>
          <w:rFonts w:ascii="David" w:hAnsi="David" w:cs="David"/>
        </w:rPr>
        <w:t xml:space="preserve"> </w:t>
      </w:r>
      <w:r w:rsidRPr="00104DC8">
        <w:rPr>
          <w:rFonts w:ascii="David" w:hAnsi="David" w:cs="David"/>
          <w:b/>
          <w:bCs/>
        </w:rPr>
        <w:t>by District and cities</w:t>
      </w:r>
      <w:r w:rsidRPr="00104DC8">
        <w:rPr>
          <w:rFonts w:ascii="David" w:hAnsi="David" w:cs="David"/>
        </w:rPr>
        <w:t>: Ashkelon has the highest number of casualties (1240 individuals, accounting for 7.71% of total casualties). Despite resource availability in Jerusalem and Petah Tikva, Ashkelon shows significant demand for psychiatric and social services.</w:t>
      </w:r>
    </w:p>
    <w:p w14:paraId="6BAD4F39" w14:textId="7D714734" w:rsidR="009876EE" w:rsidRPr="00104DC8" w:rsidRDefault="009876EE" w:rsidP="009876EE">
      <w:pPr>
        <w:pStyle w:val="a9"/>
        <w:bidi w:val="0"/>
        <w:rPr>
          <w:rFonts w:ascii="David" w:hAnsi="David" w:cs="David"/>
        </w:rPr>
      </w:pPr>
      <w:r w:rsidRPr="00104DC8">
        <w:rPr>
          <w:rFonts w:ascii="David" w:hAnsi="David" w:cs="David"/>
          <w:noProof/>
        </w:rPr>
        <w:drawing>
          <wp:inline distT="0" distB="0" distL="0" distR="0" wp14:anchorId="7DC5A2FA" wp14:editId="5D9797EF">
            <wp:extent cx="4899399" cy="1957754"/>
            <wp:effectExtent l="0" t="0" r="0" b="4445"/>
            <wp:docPr id="1974864548" name="תמונה 1" descr="תמונה שמכילה צילום מסך, עלילה,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64548" name="תמונה 1" descr="תמונה שמכילה צילום מסך, עלילה, תרשים, קו&#10;&#10;התיאור נוצר באופן אוטומטי"/>
                    <pic:cNvPicPr/>
                  </pic:nvPicPr>
                  <pic:blipFill>
                    <a:blip r:embed="rId11"/>
                    <a:stretch>
                      <a:fillRect/>
                    </a:stretch>
                  </pic:blipFill>
                  <pic:spPr>
                    <a:xfrm>
                      <a:off x="0" y="0"/>
                      <a:ext cx="4919876" cy="1965936"/>
                    </a:xfrm>
                    <a:prstGeom prst="rect">
                      <a:avLst/>
                    </a:prstGeom>
                  </pic:spPr>
                </pic:pic>
              </a:graphicData>
            </a:graphic>
          </wp:inline>
        </w:drawing>
      </w:r>
    </w:p>
    <w:p w14:paraId="456B129A" w14:textId="7F74E807" w:rsidR="009876EE" w:rsidRPr="00104DC8" w:rsidRDefault="009876EE" w:rsidP="009876EE">
      <w:pPr>
        <w:pStyle w:val="a9"/>
        <w:bidi w:val="0"/>
        <w:rPr>
          <w:rFonts w:ascii="David" w:hAnsi="David" w:cs="David"/>
        </w:rPr>
      </w:pPr>
      <w:r w:rsidRPr="00104DC8">
        <w:rPr>
          <w:rFonts w:ascii="David" w:hAnsi="David" w:cs="David"/>
          <w:noProof/>
        </w:rPr>
        <w:drawing>
          <wp:inline distT="0" distB="0" distL="0" distR="0" wp14:anchorId="42F64709" wp14:editId="1EF4F15E">
            <wp:extent cx="4899025" cy="1975299"/>
            <wp:effectExtent l="0" t="0" r="0" b="6350"/>
            <wp:docPr id="353117614" name="תמונה 1" descr="תמונה שמכילה טקסט, צילום מסך,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7614" name="תמונה 1" descr="תמונה שמכילה טקסט, צילום מסך, עלילה, תרשים&#10;&#10;התיאור נוצר באופן אוטומטי"/>
                    <pic:cNvPicPr/>
                  </pic:nvPicPr>
                  <pic:blipFill>
                    <a:blip r:embed="rId12"/>
                    <a:stretch>
                      <a:fillRect/>
                    </a:stretch>
                  </pic:blipFill>
                  <pic:spPr>
                    <a:xfrm>
                      <a:off x="0" y="0"/>
                      <a:ext cx="4908653" cy="1979181"/>
                    </a:xfrm>
                    <a:prstGeom prst="rect">
                      <a:avLst/>
                    </a:prstGeom>
                  </pic:spPr>
                </pic:pic>
              </a:graphicData>
            </a:graphic>
          </wp:inline>
        </w:drawing>
      </w:r>
    </w:p>
    <w:p w14:paraId="2F0ACFFC" w14:textId="77777777" w:rsidR="009876EE" w:rsidRPr="00104DC8" w:rsidRDefault="009876EE" w:rsidP="009876EE">
      <w:pPr>
        <w:pStyle w:val="a9"/>
        <w:bidi w:val="0"/>
        <w:rPr>
          <w:rFonts w:ascii="David" w:hAnsi="David" w:cs="David"/>
        </w:rPr>
      </w:pPr>
    </w:p>
    <w:p w14:paraId="65189D03" w14:textId="77777777" w:rsidR="00104DC8" w:rsidRDefault="00104DC8" w:rsidP="00104DC8">
      <w:pPr>
        <w:pStyle w:val="a9"/>
        <w:bidi w:val="0"/>
        <w:rPr>
          <w:rFonts w:ascii="David" w:hAnsi="David" w:cs="David"/>
          <w:b/>
          <w:bCs/>
          <w:u w:val="single"/>
        </w:rPr>
      </w:pPr>
    </w:p>
    <w:p w14:paraId="1B9FAE10" w14:textId="77777777" w:rsidR="00104DC8" w:rsidRDefault="00104DC8" w:rsidP="00104DC8">
      <w:pPr>
        <w:pStyle w:val="a9"/>
        <w:bidi w:val="0"/>
        <w:rPr>
          <w:rFonts w:ascii="David" w:hAnsi="David" w:cs="David"/>
          <w:b/>
          <w:bCs/>
          <w:u w:val="single"/>
        </w:rPr>
      </w:pPr>
    </w:p>
    <w:p w14:paraId="127EA2CD" w14:textId="77777777" w:rsidR="00104DC8" w:rsidRDefault="00104DC8" w:rsidP="00104DC8">
      <w:pPr>
        <w:pStyle w:val="a9"/>
        <w:bidi w:val="0"/>
        <w:rPr>
          <w:rFonts w:ascii="David" w:hAnsi="David" w:cs="David"/>
          <w:b/>
          <w:bCs/>
          <w:u w:val="single"/>
        </w:rPr>
      </w:pPr>
    </w:p>
    <w:p w14:paraId="4CE60CB1" w14:textId="77777777" w:rsidR="00104DC8" w:rsidRDefault="00104DC8" w:rsidP="00104DC8">
      <w:pPr>
        <w:pStyle w:val="a9"/>
        <w:bidi w:val="0"/>
        <w:rPr>
          <w:rFonts w:ascii="David" w:hAnsi="David" w:cs="David"/>
          <w:b/>
          <w:bCs/>
          <w:u w:val="single"/>
        </w:rPr>
      </w:pPr>
    </w:p>
    <w:p w14:paraId="7ACE11C0" w14:textId="77777777" w:rsidR="00104DC8" w:rsidRDefault="00104DC8" w:rsidP="00104DC8">
      <w:pPr>
        <w:pStyle w:val="a9"/>
        <w:bidi w:val="0"/>
        <w:rPr>
          <w:rFonts w:ascii="David" w:hAnsi="David" w:cs="David"/>
          <w:b/>
          <w:bCs/>
          <w:u w:val="single"/>
        </w:rPr>
      </w:pPr>
    </w:p>
    <w:p w14:paraId="6FB2313E" w14:textId="77777777" w:rsidR="006E52EA" w:rsidRDefault="006E52EA" w:rsidP="00104DC8">
      <w:pPr>
        <w:pStyle w:val="a9"/>
        <w:bidi w:val="0"/>
        <w:rPr>
          <w:rFonts w:ascii="David" w:hAnsi="David" w:cs="David"/>
          <w:b/>
          <w:bCs/>
          <w:u w:val="single"/>
        </w:rPr>
      </w:pPr>
    </w:p>
    <w:p w14:paraId="0F8CE0C1" w14:textId="77777777" w:rsidR="006E52EA" w:rsidRDefault="006E52EA" w:rsidP="006E52EA">
      <w:pPr>
        <w:pStyle w:val="a9"/>
        <w:bidi w:val="0"/>
        <w:rPr>
          <w:rFonts w:ascii="David" w:hAnsi="David" w:cs="David"/>
          <w:b/>
          <w:bCs/>
          <w:u w:val="single"/>
        </w:rPr>
      </w:pPr>
    </w:p>
    <w:p w14:paraId="19B2F8AD" w14:textId="77777777" w:rsidR="006E52EA" w:rsidRPr="000920AA" w:rsidRDefault="006E52EA" w:rsidP="006E52EA">
      <w:pPr>
        <w:bidi w:val="0"/>
        <w:rPr>
          <w:rFonts w:ascii="David" w:hAnsi="David" w:cs="David"/>
          <w:b/>
          <w:bCs/>
          <w:u w:val="single"/>
        </w:rPr>
      </w:pPr>
    </w:p>
    <w:p w14:paraId="0AB4B75F" w14:textId="77777777" w:rsidR="006E52EA" w:rsidRDefault="006E52EA" w:rsidP="006E52EA">
      <w:pPr>
        <w:pStyle w:val="a9"/>
        <w:bidi w:val="0"/>
        <w:rPr>
          <w:rFonts w:ascii="David" w:hAnsi="David" w:cs="David"/>
          <w:b/>
          <w:bCs/>
          <w:u w:val="single"/>
        </w:rPr>
      </w:pPr>
    </w:p>
    <w:p w14:paraId="4F26B811" w14:textId="77777777" w:rsidR="006E52EA" w:rsidRDefault="006E52EA" w:rsidP="006E52EA">
      <w:pPr>
        <w:pStyle w:val="a9"/>
        <w:bidi w:val="0"/>
        <w:rPr>
          <w:rFonts w:ascii="David" w:hAnsi="David" w:cs="David"/>
          <w:b/>
          <w:bCs/>
          <w:u w:val="single"/>
        </w:rPr>
      </w:pPr>
    </w:p>
    <w:p w14:paraId="2CC42CDC" w14:textId="51EB68F7" w:rsidR="00104DC8" w:rsidRPr="00104DC8" w:rsidRDefault="00104DC8" w:rsidP="006E52EA">
      <w:pPr>
        <w:pStyle w:val="a9"/>
        <w:bidi w:val="0"/>
        <w:rPr>
          <w:rFonts w:ascii="David" w:hAnsi="David" w:cs="David"/>
          <w:b/>
          <w:bCs/>
          <w:u w:val="single"/>
        </w:rPr>
      </w:pPr>
      <w:r w:rsidRPr="00104DC8">
        <w:rPr>
          <w:rFonts w:ascii="David" w:hAnsi="David" w:cs="David"/>
          <w:b/>
          <w:bCs/>
          <w:u w:val="single"/>
        </w:rPr>
        <w:t>Part 3: Synthesis and Recommendations</w:t>
      </w:r>
    </w:p>
    <w:p w14:paraId="7CF9C823" w14:textId="77777777" w:rsidR="00104DC8" w:rsidRPr="00104DC8" w:rsidRDefault="00104DC8" w:rsidP="00104DC8">
      <w:pPr>
        <w:pStyle w:val="a9"/>
        <w:bidi w:val="0"/>
        <w:rPr>
          <w:rFonts w:ascii="David" w:hAnsi="David" w:cs="David"/>
          <w:rtl/>
        </w:rPr>
      </w:pPr>
    </w:p>
    <w:p w14:paraId="157FED37" w14:textId="6BF8FBF8" w:rsidR="00104DC8" w:rsidRPr="00104DC8" w:rsidRDefault="00104DC8" w:rsidP="00104DC8">
      <w:pPr>
        <w:pStyle w:val="a9"/>
        <w:bidi w:val="0"/>
        <w:rPr>
          <w:rFonts w:ascii="David" w:hAnsi="David" w:cs="David"/>
          <w:b/>
          <w:bCs/>
        </w:rPr>
      </w:pPr>
      <w:r w:rsidRPr="00104DC8">
        <w:rPr>
          <w:rFonts w:ascii="David" w:hAnsi="David" w:cs="David"/>
          <w:b/>
          <w:bCs/>
        </w:rPr>
        <w:t>Conclusions:</w:t>
      </w:r>
    </w:p>
    <w:p w14:paraId="342EF913" w14:textId="2E118C19" w:rsidR="00104DC8" w:rsidRPr="00104DC8" w:rsidRDefault="00104DC8" w:rsidP="00104DC8">
      <w:pPr>
        <w:pStyle w:val="a9"/>
        <w:numPr>
          <w:ilvl w:val="0"/>
          <w:numId w:val="4"/>
        </w:numPr>
        <w:bidi w:val="0"/>
        <w:rPr>
          <w:rFonts w:ascii="David" w:hAnsi="David" w:cs="David"/>
          <w:sz w:val="22"/>
          <w:szCs w:val="22"/>
          <w:rtl/>
        </w:rPr>
      </w:pPr>
      <w:r w:rsidRPr="00104DC8">
        <w:rPr>
          <w:rFonts w:ascii="David" w:hAnsi="David" w:cs="David"/>
          <w:sz w:val="22"/>
          <w:szCs w:val="22"/>
        </w:rPr>
        <w:t>The districts of Jerusalem and Petah Tikva demonstrate strong support for the treatment of the mentally injured and psychiatrists through hospitals, psychiatric wards and social centers. On the other hand, Ashkelon appears to be the district with the highest number of casualties during the war, which indicates a significant demand for psychiatric and social services in relation to the available resources</w:t>
      </w:r>
      <w:r w:rsidRPr="00104DC8">
        <w:rPr>
          <w:rFonts w:ascii="David" w:hAnsi="David" w:cs="David"/>
          <w:b/>
          <w:bCs/>
          <w:sz w:val="22"/>
          <w:szCs w:val="22"/>
        </w:rPr>
        <w:t>, so it can be concluded that the departments and centers located in the Ashkelon district and in the same area must be strengthened.</w:t>
      </w:r>
    </w:p>
    <w:p w14:paraId="0EC81D1D" w14:textId="77777777" w:rsidR="00104DC8" w:rsidRPr="00104DC8" w:rsidRDefault="00104DC8" w:rsidP="00104DC8">
      <w:pPr>
        <w:pStyle w:val="a9"/>
        <w:bidi w:val="0"/>
        <w:ind w:left="1080"/>
        <w:rPr>
          <w:rFonts w:ascii="David" w:hAnsi="David" w:cs="David"/>
          <w:rtl/>
        </w:rPr>
      </w:pPr>
    </w:p>
    <w:p w14:paraId="0916111E" w14:textId="68750048" w:rsidR="00104DC8" w:rsidRPr="00104DC8" w:rsidRDefault="00104DC8" w:rsidP="00104DC8">
      <w:pPr>
        <w:pStyle w:val="a9"/>
        <w:numPr>
          <w:ilvl w:val="0"/>
          <w:numId w:val="4"/>
        </w:numPr>
        <w:bidi w:val="0"/>
        <w:rPr>
          <w:rFonts w:ascii="David" w:hAnsi="David" w:cs="David"/>
        </w:rPr>
      </w:pPr>
      <w:r w:rsidRPr="00104DC8">
        <w:rPr>
          <w:rFonts w:ascii="David" w:hAnsi="David" w:cs="David"/>
          <w:sz w:val="22"/>
          <w:szCs w:val="22"/>
        </w:rPr>
        <w:t>Expansion in North Districts: One could argue that Kinneret and Tiberias are lacking in response to the need for children's and minors' mental and psychiatric treatment facilities (the nearest facility is in Zefat). The disadvantage in these centers will be felt more keenly in the future when the evacuated people of the north return, thus more attention should be paid to a thorough analysis of the demand for centers of this kind or appropriate alternatives in the field. particularly in the Kinneret district in the north</w:t>
      </w:r>
      <w:r w:rsidRPr="00104DC8">
        <w:rPr>
          <w:rFonts w:ascii="David" w:hAnsi="David" w:cs="David"/>
        </w:rPr>
        <w:t>.</w:t>
      </w:r>
    </w:p>
    <w:p w14:paraId="2E9B5CC1" w14:textId="77777777" w:rsidR="00104DC8" w:rsidRPr="00104DC8" w:rsidRDefault="00104DC8" w:rsidP="00104DC8">
      <w:pPr>
        <w:pStyle w:val="a9"/>
        <w:bidi w:val="0"/>
        <w:rPr>
          <w:rFonts w:ascii="David" w:hAnsi="David" w:cs="David"/>
          <w:rtl/>
        </w:rPr>
      </w:pPr>
    </w:p>
    <w:p w14:paraId="19421C13" w14:textId="6C82DE1E" w:rsidR="00104DC8" w:rsidRPr="00104DC8" w:rsidRDefault="00104DC8" w:rsidP="00104DC8">
      <w:pPr>
        <w:pStyle w:val="a9"/>
        <w:bidi w:val="0"/>
        <w:rPr>
          <w:rFonts w:ascii="David" w:hAnsi="David" w:cs="David"/>
          <w:b/>
          <w:bCs/>
        </w:rPr>
      </w:pPr>
      <w:r w:rsidRPr="00104DC8">
        <w:rPr>
          <w:rFonts w:ascii="David" w:hAnsi="David" w:cs="David"/>
          <w:b/>
          <w:bCs/>
        </w:rPr>
        <w:t>Recommendations:</w:t>
      </w:r>
    </w:p>
    <w:p w14:paraId="446279A1" w14:textId="183BD514" w:rsidR="009876EE" w:rsidRDefault="00104DC8" w:rsidP="00104DC8">
      <w:pPr>
        <w:pStyle w:val="a9"/>
        <w:bidi w:val="0"/>
        <w:rPr>
          <w:rFonts w:ascii="David" w:hAnsi="David" w:cs="David"/>
          <w:sz w:val="22"/>
          <w:szCs w:val="22"/>
        </w:rPr>
      </w:pPr>
      <w:r w:rsidRPr="00104DC8">
        <w:rPr>
          <w:rFonts w:ascii="David" w:hAnsi="David" w:cs="David"/>
          <w:sz w:val="22"/>
          <w:szCs w:val="22"/>
        </w:rPr>
        <w:t>The data analysis is based on general casualty statistics, presuming that a physical victim receives psychological assessment, therapy, and psychological aid. Further data on the number of hospital beds at each treatment facility, the number of therapists in each location, and the proportion of mental casualties from the conflict relative to the overall casualties can be gathered to further support the findings. This will enable me to evaluate the results' significance and depth with accuracy.</w:t>
      </w:r>
    </w:p>
    <w:p w14:paraId="28345FD4" w14:textId="77777777" w:rsidR="00E85314" w:rsidRDefault="00E85314" w:rsidP="00E85314">
      <w:pPr>
        <w:pStyle w:val="a9"/>
        <w:bidi w:val="0"/>
        <w:rPr>
          <w:rFonts w:ascii="David" w:hAnsi="David" w:cs="David"/>
          <w:sz w:val="22"/>
          <w:szCs w:val="22"/>
        </w:rPr>
      </w:pPr>
    </w:p>
    <w:p w14:paraId="30FF9AF2" w14:textId="77777777" w:rsidR="00E85314" w:rsidRDefault="00E85314" w:rsidP="00E85314">
      <w:pPr>
        <w:pStyle w:val="a9"/>
        <w:bidi w:val="0"/>
        <w:rPr>
          <w:rFonts w:ascii="David" w:hAnsi="David" w:cs="David"/>
          <w:sz w:val="22"/>
          <w:szCs w:val="22"/>
        </w:rPr>
      </w:pPr>
    </w:p>
    <w:p w14:paraId="3D7DA050" w14:textId="77777777" w:rsidR="006E52EA" w:rsidRDefault="006E52EA" w:rsidP="00E85314">
      <w:pPr>
        <w:pStyle w:val="a9"/>
        <w:bidi w:val="0"/>
        <w:rPr>
          <w:rFonts w:ascii="David" w:hAnsi="David" w:cs="David"/>
          <w:b/>
          <w:bCs/>
          <w:u w:val="single"/>
        </w:rPr>
      </w:pPr>
    </w:p>
    <w:p w14:paraId="09DE4C0B" w14:textId="77777777" w:rsidR="006E52EA" w:rsidRDefault="006E52EA" w:rsidP="006E52EA">
      <w:pPr>
        <w:pStyle w:val="a9"/>
        <w:bidi w:val="0"/>
        <w:rPr>
          <w:rFonts w:ascii="David" w:hAnsi="David" w:cs="David"/>
          <w:b/>
          <w:bCs/>
          <w:u w:val="single"/>
        </w:rPr>
      </w:pPr>
    </w:p>
    <w:p w14:paraId="2076488C" w14:textId="77777777" w:rsidR="006E52EA" w:rsidRDefault="006E52EA" w:rsidP="006E52EA">
      <w:pPr>
        <w:pStyle w:val="a9"/>
        <w:bidi w:val="0"/>
        <w:rPr>
          <w:rFonts w:ascii="David" w:hAnsi="David" w:cs="David"/>
          <w:b/>
          <w:bCs/>
          <w:u w:val="single"/>
        </w:rPr>
      </w:pPr>
    </w:p>
    <w:p w14:paraId="4F405029" w14:textId="77777777" w:rsidR="006E52EA" w:rsidRPr="007A38FB" w:rsidRDefault="006E52EA" w:rsidP="006E52EA">
      <w:pPr>
        <w:bidi w:val="0"/>
        <w:rPr>
          <w:rFonts w:ascii="David" w:hAnsi="David" w:cs="David"/>
          <w:b/>
          <w:bCs/>
          <w:u w:val="single"/>
        </w:rPr>
      </w:pPr>
    </w:p>
    <w:p w14:paraId="2A295340" w14:textId="77777777" w:rsidR="006E52EA" w:rsidRDefault="006E52EA" w:rsidP="006E52EA">
      <w:pPr>
        <w:pStyle w:val="a9"/>
        <w:bidi w:val="0"/>
        <w:rPr>
          <w:rFonts w:ascii="David" w:hAnsi="David" w:cs="David"/>
          <w:b/>
          <w:bCs/>
          <w:u w:val="single"/>
        </w:rPr>
      </w:pPr>
    </w:p>
    <w:p w14:paraId="4FA28871" w14:textId="77777777" w:rsidR="006E52EA" w:rsidRDefault="006E52EA" w:rsidP="006E52EA">
      <w:pPr>
        <w:pStyle w:val="a9"/>
        <w:bidi w:val="0"/>
        <w:rPr>
          <w:rFonts w:ascii="David" w:hAnsi="David" w:cs="David"/>
          <w:b/>
          <w:bCs/>
          <w:u w:val="single"/>
        </w:rPr>
      </w:pPr>
    </w:p>
    <w:p w14:paraId="5F701895" w14:textId="77777777" w:rsidR="006E52EA" w:rsidRDefault="006E52EA" w:rsidP="006E52EA">
      <w:pPr>
        <w:pStyle w:val="a9"/>
        <w:bidi w:val="0"/>
        <w:rPr>
          <w:rFonts w:ascii="David" w:hAnsi="David" w:cs="David"/>
          <w:b/>
          <w:bCs/>
          <w:u w:val="single"/>
        </w:rPr>
      </w:pPr>
    </w:p>
    <w:p w14:paraId="4AF18F47" w14:textId="77777777" w:rsidR="006E52EA" w:rsidRDefault="006E52EA" w:rsidP="006E52EA">
      <w:pPr>
        <w:pStyle w:val="a9"/>
        <w:bidi w:val="0"/>
        <w:rPr>
          <w:rFonts w:ascii="David" w:hAnsi="David" w:cs="David"/>
          <w:b/>
          <w:bCs/>
          <w:u w:val="single"/>
        </w:rPr>
      </w:pPr>
    </w:p>
    <w:p w14:paraId="5151E7AD" w14:textId="77777777" w:rsidR="006E52EA" w:rsidRDefault="006E52EA" w:rsidP="006E52EA">
      <w:pPr>
        <w:pStyle w:val="a9"/>
        <w:bidi w:val="0"/>
        <w:rPr>
          <w:rFonts w:ascii="David" w:hAnsi="David" w:cs="David"/>
          <w:b/>
          <w:bCs/>
          <w:u w:val="single"/>
        </w:rPr>
      </w:pPr>
    </w:p>
    <w:p w14:paraId="584CC0D2" w14:textId="4E31A64C" w:rsidR="00E85314" w:rsidRDefault="00E85314" w:rsidP="006E52EA">
      <w:pPr>
        <w:pStyle w:val="a9"/>
        <w:bidi w:val="0"/>
        <w:rPr>
          <w:rFonts w:ascii="David" w:hAnsi="David" w:cs="David"/>
          <w:b/>
          <w:bCs/>
          <w:u w:val="single"/>
        </w:rPr>
      </w:pPr>
      <w:r w:rsidRPr="00E85314">
        <w:rPr>
          <w:rFonts w:ascii="David" w:hAnsi="David" w:cs="David"/>
          <w:b/>
          <w:bCs/>
          <w:u w:val="single"/>
        </w:rPr>
        <w:t>Bibliography</w:t>
      </w:r>
    </w:p>
    <w:p w14:paraId="2E0FF007" w14:textId="77777777" w:rsidR="003B211A" w:rsidRDefault="003B211A" w:rsidP="003B211A">
      <w:pPr>
        <w:pStyle w:val="a9"/>
        <w:bidi w:val="0"/>
        <w:rPr>
          <w:rFonts w:ascii="David" w:hAnsi="David" w:cs="David"/>
          <w:b/>
          <w:bCs/>
          <w:u w:val="single"/>
        </w:rPr>
      </w:pPr>
    </w:p>
    <w:p w14:paraId="44814EF1" w14:textId="1A27A253" w:rsidR="00E85314" w:rsidRPr="006E52EA" w:rsidRDefault="003B211A" w:rsidP="00E85314">
      <w:pPr>
        <w:pStyle w:val="a9"/>
        <w:bidi w:val="0"/>
        <w:rPr>
          <w:rFonts w:ascii="David" w:hAnsi="David" w:cs="David"/>
          <w:sz w:val="22"/>
          <w:szCs w:val="22"/>
        </w:rPr>
      </w:pPr>
      <w:r w:rsidRPr="006E52EA">
        <w:rPr>
          <w:rFonts w:ascii="David" w:hAnsi="David" w:cs="David"/>
          <w:sz w:val="22"/>
          <w:szCs w:val="22"/>
        </w:rPr>
        <w:t xml:space="preserve">[1] Counseling centers for families of mentally injured people, link to the data set </w:t>
      </w:r>
      <w:hyperlink r:id="rId13" w:history="1">
        <w:r w:rsidRPr="006E52EA">
          <w:rPr>
            <w:rStyle w:val="Hyperlink"/>
            <w:rFonts w:ascii="David" w:hAnsi="David" w:cs="David"/>
            <w:sz w:val="22"/>
            <w:szCs w:val="22"/>
          </w:rPr>
          <w:t>https://data.gov.il/dataset/mtl-families-centers/resource/cef1c51a-452f-484d-8834-6bd77f696ad8</w:t>
        </w:r>
      </w:hyperlink>
    </w:p>
    <w:p w14:paraId="7AE902D6" w14:textId="77777777" w:rsidR="003B211A" w:rsidRPr="006E52EA" w:rsidRDefault="003B211A" w:rsidP="003B211A">
      <w:pPr>
        <w:pStyle w:val="a9"/>
        <w:bidi w:val="0"/>
        <w:rPr>
          <w:rFonts w:ascii="David" w:hAnsi="David" w:cs="David"/>
          <w:sz w:val="22"/>
          <w:szCs w:val="22"/>
        </w:rPr>
      </w:pPr>
    </w:p>
    <w:p w14:paraId="2DCE13E8" w14:textId="2782FC89" w:rsidR="003B211A" w:rsidRPr="006E52EA" w:rsidRDefault="003B211A" w:rsidP="003B211A">
      <w:pPr>
        <w:pStyle w:val="a9"/>
        <w:bidi w:val="0"/>
        <w:rPr>
          <w:rFonts w:ascii="David" w:hAnsi="David" w:cs="David"/>
          <w:sz w:val="22"/>
          <w:szCs w:val="22"/>
        </w:rPr>
      </w:pPr>
      <w:r w:rsidRPr="006E52EA">
        <w:rPr>
          <w:rFonts w:ascii="David" w:hAnsi="David" w:cs="David"/>
          <w:sz w:val="22"/>
          <w:szCs w:val="22"/>
        </w:rPr>
        <w:t xml:space="preserve">[2] Psychiatric hospitals and psychiatric wards in general hospitals, link to the data set </w:t>
      </w:r>
      <w:hyperlink r:id="rId14" w:history="1">
        <w:r w:rsidRPr="006E52EA">
          <w:rPr>
            <w:rStyle w:val="Hyperlink"/>
            <w:rFonts w:ascii="David" w:hAnsi="David" w:cs="David"/>
            <w:sz w:val="22"/>
            <w:szCs w:val="22"/>
          </w:rPr>
          <w:t>https://data.gov.il/dataset/hospitals_psyc/resource/5b4dfe37-ca97-4973-9752-5f1950939832</w:t>
        </w:r>
      </w:hyperlink>
    </w:p>
    <w:p w14:paraId="24EAF53F" w14:textId="77777777" w:rsidR="003B211A" w:rsidRPr="006E52EA" w:rsidRDefault="003B211A" w:rsidP="003B211A">
      <w:pPr>
        <w:pStyle w:val="a9"/>
        <w:bidi w:val="0"/>
        <w:rPr>
          <w:rFonts w:ascii="David" w:hAnsi="David" w:cs="David"/>
          <w:sz w:val="22"/>
          <w:szCs w:val="22"/>
        </w:rPr>
      </w:pPr>
    </w:p>
    <w:p w14:paraId="7E683DF2" w14:textId="12277A76" w:rsidR="003B211A" w:rsidRPr="006E52EA" w:rsidRDefault="003B211A" w:rsidP="003B211A">
      <w:pPr>
        <w:pStyle w:val="a9"/>
        <w:bidi w:val="0"/>
        <w:rPr>
          <w:rFonts w:ascii="David" w:hAnsi="David" w:cs="David"/>
          <w:sz w:val="22"/>
          <w:szCs w:val="22"/>
        </w:rPr>
      </w:pPr>
      <w:r w:rsidRPr="006E52EA">
        <w:rPr>
          <w:rFonts w:ascii="David" w:hAnsi="David" w:cs="David"/>
          <w:sz w:val="22"/>
          <w:szCs w:val="22"/>
        </w:rPr>
        <w:t xml:space="preserve">[3] The data world of the Ministry of Health - </w:t>
      </w:r>
      <w:proofErr w:type="spellStart"/>
      <w:r w:rsidRPr="006E52EA">
        <w:rPr>
          <w:rFonts w:ascii="David" w:hAnsi="David" w:cs="David"/>
          <w:sz w:val="22"/>
          <w:szCs w:val="22"/>
        </w:rPr>
        <w:t>Haravot</w:t>
      </w:r>
      <w:proofErr w:type="spellEnd"/>
      <w:r w:rsidRPr="006E52EA">
        <w:rPr>
          <w:rFonts w:ascii="David" w:hAnsi="David" w:cs="David"/>
          <w:sz w:val="22"/>
          <w:szCs w:val="22"/>
        </w:rPr>
        <w:t xml:space="preserve"> </w:t>
      </w:r>
      <w:proofErr w:type="spellStart"/>
      <w:r w:rsidRPr="006E52EA">
        <w:rPr>
          <w:rFonts w:ascii="David" w:hAnsi="David" w:cs="David"/>
          <w:sz w:val="22"/>
          <w:szCs w:val="22"/>
        </w:rPr>
        <w:t>Barzel</w:t>
      </w:r>
      <w:proofErr w:type="spellEnd"/>
      <w:r w:rsidRPr="006E52EA">
        <w:rPr>
          <w:rFonts w:ascii="David" w:hAnsi="David" w:cs="David"/>
          <w:sz w:val="22"/>
          <w:szCs w:val="22"/>
        </w:rPr>
        <w:t xml:space="preserve">,  link to the data set </w:t>
      </w:r>
      <w:hyperlink r:id="rId15" w:history="1">
        <w:r w:rsidRPr="006E52EA">
          <w:rPr>
            <w:rStyle w:val="Hyperlink"/>
            <w:rFonts w:ascii="David" w:hAnsi="David" w:cs="David"/>
            <w:sz w:val="22"/>
            <w:szCs w:val="22"/>
          </w:rPr>
          <w:t>https://datadashboard.health.gov.il/portal/dashboard/health</w:t>
        </w:r>
      </w:hyperlink>
    </w:p>
    <w:sectPr w:rsidR="003B211A" w:rsidRPr="006E52EA" w:rsidSect="00FA5F61">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A1DF9" w14:textId="77777777" w:rsidR="00A77E6C" w:rsidRDefault="00A77E6C" w:rsidP="003359DA">
      <w:pPr>
        <w:spacing w:after="0" w:line="240" w:lineRule="auto"/>
      </w:pPr>
      <w:r>
        <w:separator/>
      </w:r>
    </w:p>
  </w:endnote>
  <w:endnote w:type="continuationSeparator" w:id="0">
    <w:p w14:paraId="20864387" w14:textId="77777777" w:rsidR="00A77E6C" w:rsidRDefault="00A77E6C" w:rsidP="0033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95255534"/>
      <w:docPartObj>
        <w:docPartGallery w:val="Page Numbers (Bottom of Page)"/>
        <w:docPartUnique/>
      </w:docPartObj>
    </w:sdtPr>
    <w:sdtContent>
      <w:p w14:paraId="749623C9" w14:textId="4C018472" w:rsidR="003359DA" w:rsidRDefault="003359DA">
        <w:pPr>
          <w:pStyle w:val="af1"/>
          <w:jc w:val="center"/>
        </w:pPr>
        <w:r>
          <w:fldChar w:fldCharType="begin"/>
        </w:r>
        <w:r>
          <w:instrText>PAGE   \* MERGEFORMAT</w:instrText>
        </w:r>
        <w:r>
          <w:fldChar w:fldCharType="separate"/>
        </w:r>
        <w:r>
          <w:rPr>
            <w:rtl/>
            <w:lang w:val="he-IL"/>
          </w:rPr>
          <w:t>2</w:t>
        </w:r>
        <w:r>
          <w:fldChar w:fldCharType="end"/>
        </w:r>
      </w:p>
    </w:sdtContent>
  </w:sdt>
  <w:p w14:paraId="1D951395" w14:textId="77777777" w:rsidR="003359DA" w:rsidRDefault="003359D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5285A" w14:textId="77777777" w:rsidR="00A77E6C" w:rsidRDefault="00A77E6C" w:rsidP="003359DA">
      <w:pPr>
        <w:spacing w:after="0" w:line="240" w:lineRule="auto"/>
      </w:pPr>
      <w:r>
        <w:separator/>
      </w:r>
    </w:p>
  </w:footnote>
  <w:footnote w:type="continuationSeparator" w:id="0">
    <w:p w14:paraId="4B5E558A" w14:textId="77777777" w:rsidR="00A77E6C" w:rsidRDefault="00A77E6C" w:rsidP="00335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81F"/>
    <w:multiLevelType w:val="hybridMultilevel"/>
    <w:tmpl w:val="96D8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556"/>
    <w:multiLevelType w:val="hybridMultilevel"/>
    <w:tmpl w:val="D19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544E8"/>
    <w:multiLevelType w:val="hybridMultilevel"/>
    <w:tmpl w:val="D88C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12C1D"/>
    <w:multiLevelType w:val="hybridMultilevel"/>
    <w:tmpl w:val="6EFC20E8"/>
    <w:lvl w:ilvl="0" w:tplc="08E48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375724">
    <w:abstractNumId w:val="1"/>
  </w:num>
  <w:num w:numId="2" w16cid:durableId="1115294283">
    <w:abstractNumId w:val="2"/>
  </w:num>
  <w:num w:numId="3" w16cid:durableId="1181041054">
    <w:abstractNumId w:val="0"/>
  </w:num>
  <w:num w:numId="4" w16cid:durableId="167307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DA"/>
    <w:rsid w:val="00040B1A"/>
    <w:rsid w:val="000920AA"/>
    <w:rsid w:val="00104DC8"/>
    <w:rsid w:val="0020097A"/>
    <w:rsid w:val="002A17BF"/>
    <w:rsid w:val="003359DA"/>
    <w:rsid w:val="00347AC0"/>
    <w:rsid w:val="003B211A"/>
    <w:rsid w:val="00441A3C"/>
    <w:rsid w:val="006E52EA"/>
    <w:rsid w:val="007A38FB"/>
    <w:rsid w:val="009876EE"/>
    <w:rsid w:val="009F1666"/>
    <w:rsid w:val="00A77E6C"/>
    <w:rsid w:val="00B90450"/>
    <w:rsid w:val="00E0571A"/>
    <w:rsid w:val="00E85314"/>
    <w:rsid w:val="00FA5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D133"/>
  <w15:chartTrackingRefBased/>
  <w15:docId w15:val="{5C174001-09B9-4BB0-9202-D1179BB4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35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5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59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59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59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59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9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9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9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59D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59D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59D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59DA"/>
    <w:rPr>
      <w:rFonts w:eastAsiaTheme="majorEastAsia" w:cstheme="majorBidi"/>
      <w:i/>
      <w:iCs/>
      <w:color w:val="0F4761" w:themeColor="accent1" w:themeShade="BF"/>
    </w:rPr>
  </w:style>
  <w:style w:type="character" w:customStyle="1" w:styleId="50">
    <w:name w:val="כותרת 5 תו"/>
    <w:basedOn w:val="a0"/>
    <w:link w:val="5"/>
    <w:uiPriority w:val="9"/>
    <w:semiHidden/>
    <w:rsid w:val="003359DA"/>
    <w:rPr>
      <w:rFonts w:eastAsiaTheme="majorEastAsia" w:cstheme="majorBidi"/>
      <w:color w:val="0F4761" w:themeColor="accent1" w:themeShade="BF"/>
    </w:rPr>
  </w:style>
  <w:style w:type="character" w:customStyle="1" w:styleId="60">
    <w:name w:val="כותרת 6 תו"/>
    <w:basedOn w:val="a0"/>
    <w:link w:val="6"/>
    <w:uiPriority w:val="9"/>
    <w:semiHidden/>
    <w:rsid w:val="003359DA"/>
    <w:rPr>
      <w:rFonts w:eastAsiaTheme="majorEastAsia" w:cstheme="majorBidi"/>
      <w:i/>
      <w:iCs/>
      <w:color w:val="595959" w:themeColor="text1" w:themeTint="A6"/>
    </w:rPr>
  </w:style>
  <w:style w:type="character" w:customStyle="1" w:styleId="70">
    <w:name w:val="כותרת 7 תו"/>
    <w:basedOn w:val="a0"/>
    <w:link w:val="7"/>
    <w:uiPriority w:val="9"/>
    <w:semiHidden/>
    <w:rsid w:val="003359DA"/>
    <w:rPr>
      <w:rFonts w:eastAsiaTheme="majorEastAsia" w:cstheme="majorBidi"/>
      <w:color w:val="595959" w:themeColor="text1" w:themeTint="A6"/>
    </w:rPr>
  </w:style>
  <w:style w:type="character" w:customStyle="1" w:styleId="80">
    <w:name w:val="כותרת 8 תו"/>
    <w:basedOn w:val="a0"/>
    <w:link w:val="8"/>
    <w:uiPriority w:val="9"/>
    <w:semiHidden/>
    <w:rsid w:val="003359DA"/>
    <w:rPr>
      <w:rFonts w:eastAsiaTheme="majorEastAsia" w:cstheme="majorBidi"/>
      <w:i/>
      <w:iCs/>
      <w:color w:val="272727" w:themeColor="text1" w:themeTint="D8"/>
    </w:rPr>
  </w:style>
  <w:style w:type="character" w:customStyle="1" w:styleId="90">
    <w:name w:val="כותרת 9 תו"/>
    <w:basedOn w:val="a0"/>
    <w:link w:val="9"/>
    <w:uiPriority w:val="9"/>
    <w:semiHidden/>
    <w:rsid w:val="003359DA"/>
    <w:rPr>
      <w:rFonts w:eastAsiaTheme="majorEastAsia" w:cstheme="majorBidi"/>
      <w:color w:val="272727" w:themeColor="text1" w:themeTint="D8"/>
    </w:rPr>
  </w:style>
  <w:style w:type="paragraph" w:styleId="a3">
    <w:name w:val="Title"/>
    <w:basedOn w:val="a"/>
    <w:next w:val="a"/>
    <w:link w:val="a4"/>
    <w:uiPriority w:val="10"/>
    <w:qFormat/>
    <w:rsid w:val="00335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59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9D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59D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59DA"/>
    <w:pPr>
      <w:spacing w:before="160"/>
      <w:jc w:val="center"/>
    </w:pPr>
    <w:rPr>
      <w:i/>
      <w:iCs/>
      <w:color w:val="404040" w:themeColor="text1" w:themeTint="BF"/>
    </w:rPr>
  </w:style>
  <w:style w:type="character" w:customStyle="1" w:styleId="a8">
    <w:name w:val="ציטוט תו"/>
    <w:basedOn w:val="a0"/>
    <w:link w:val="a7"/>
    <w:uiPriority w:val="29"/>
    <w:rsid w:val="003359DA"/>
    <w:rPr>
      <w:i/>
      <w:iCs/>
      <w:color w:val="404040" w:themeColor="text1" w:themeTint="BF"/>
    </w:rPr>
  </w:style>
  <w:style w:type="paragraph" w:styleId="a9">
    <w:name w:val="List Paragraph"/>
    <w:basedOn w:val="a"/>
    <w:uiPriority w:val="34"/>
    <w:qFormat/>
    <w:rsid w:val="003359DA"/>
    <w:pPr>
      <w:ind w:left="720"/>
      <w:contextualSpacing/>
    </w:pPr>
  </w:style>
  <w:style w:type="character" w:styleId="aa">
    <w:name w:val="Intense Emphasis"/>
    <w:basedOn w:val="a0"/>
    <w:uiPriority w:val="21"/>
    <w:qFormat/>
    <w:rsid w:val="003359DA"/>
    <w:rPr>
      <w:i/>
      <w:iCs/>
      <w:color w:val="0F4761" w:themeColor="accent1" w:themeShade="BF"/>
    </w:rPr>
  </w:style>
  <w:style w:type="paragraph" w:styleId="ab">
    <w:name w:val="Intense Quote"/>
    <w:basedOn w:val="a"/>
    <w:next w:val="a"/>
    <w:link w:val="ac"/>
    <w:uiPriority w:val="30"/>
    <w:qFormat/>
    <w:rsid w:val="00335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59DA"/>
    <w:rPr>
      <w:i/>
      <w:iCs/>
      <w:color w:val="0F4761" w:themeColor="accent1" w:themeShade="BF"/>
    </w:rPr>
  </w:style>
  <w:style w:type="character" w:styleId="ad">
    <w:name w:val="Intense Reference"/>
    <w:basedOn w:val="a0"/>
    <w:uiPriority w:val="32"/>
    <w:qFormat/>
    <w:rsid w:val="003359DA"/>
    <w:rPr>
      <w:b/>
      <w:bCs/>
      <w:smallCaps/>
      <w:color w:val="0F4761" w:themeColor="accent1" w:themeShade="BF"/>
      <w:spacing w:val="5"/>
    </w:rPr>
  </w:style>
  <w:style w:type="character" w:styleId="Hyperlink">
    <w:name w:val="Hyperlink"/>
    <w:basedOn w:val="a0"/>
    <w:uiPriority w:val="99"/>
    <w:unhideWhenUsed/>
    <w:rsid w:val="003359DA"/>
    <w:rPr>
      <w:color w:val="467886" w:themeColor="hyperlink"/>
      <w:u w:val="single"/>
    </w:rPr>
  </w:style>
  <w:style w:type="character" w:styleId="ae">
    <w:name w:val="Unresolved Mention"/>
    <w:basedOn w:val="a0"/>
    <w:uiPriority w:val="99"/>
    <w:semiHidden/>
    <w:unhideWhenUsed/>
    <w:rsid w:val="003359DA"/>
    <w:rPr>
      <w:color w:val="605E5C"/>
      <w:shd w:val="clear" w:color="auto" w:fill="E1DFDD"/>
    </w:rPr>
  </w:style>
  <w:style w:type="paragraph" w:styleId="af">
    <w:name w:val="header"/>
    <w:basedOn w:val="a"/>
    <w:link w:val="af0"/>
    <w:uiPriority w:val="99"/>
    <w:unhideWhenUsed/>
    <w:rsid w:val="003359DA"/>
    <w:pPr>
      <w:tabs>
        <w:tab w:val="center" w:pos="4153"/>
        <w:tab w:val="right" w:pos="8306"/>
      </w:tabs>
      <w:spacing w:after="0" w:line="240" w:lineRule="auto"/>
    </w:pPr>
  </w:style>
  <w:style w:type="character" w:customStyle="1" w:styleId="af0">
    <w:name w:val="כותרת עליונה תו"/>
    <w:basedOn w:val="a0"/>
    <w:link w:val="af"/>
    <w:uiPriority w:val="99"/>
    <w:rsid w:val="003359DA"/>
  </w:style>
  <w:style w:type="paragraph" w:styleId="af1">
    <w:name w:val="footer"/>
    <w:basedOn w:val="a"/>
    <w:link w:val="af2"/>
    <w:uiPriority w:val="99"/>
    <w:unhideWhenUsed/>
    <w:rsid w:val="003359DA"/>
    <w:pPr>
      <w:tabs>
        <w:tab w:val="center" w:pos="4153"/>
        <w:tab w:val="right" w:pos="8306"/>
      </w:tabs>
      <w:spacing w:after="0" w:line="240" w:lineRule="auto"/>
    </w:pPr>
  </w:style>
  <w:style w:type="character" w:customStyle="1" w:styleId="af2">
    <w:name w:val="כותרת תחתונה תו"/>
    <w:basedOn w:val="a0"/>
    <w:link w:val="af1"/>
    <w:uiPriority w:val="99"/>
    <w:rsid w:val="00335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tfallach/" TargetMode="External"/><Relationship Id="rId13" Type="http://schemas.openxmlformats.org/officeDocument/2006/relationships/hyperlink" Target="https://data.gov.il/dataset/mtl-families-centers/resource/cef1c51a-452f-484d-8834-6bd77f696ad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mitfallach"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atadashboard.health.gov.il/portal/dashboard/healt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gov.il/dataset/hospitals_psyc/resource/5b4dfe37-ca97-4973-9752-5f195093983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803</Words>
  <Characters>4016</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פלאח</dc:creator>
  <cp:keywords/>
  <dc:description/>
  <cp:lastModifiedBy>עמית פלאח</cp:lastModifiedBy>
  <cp:revision>8</cp:revision>
  <dcterms:created xsi:type="dcterms:W3CDTF">2024-06-12T21:07:00Z</dcterms:created>
  <dcterms:modified xsi:type="dcterms:W3CDTF">2024-06-12T22:49:00Z</dcterms:modified>
</cp:coreProperties>
</file>