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 (OTO-OCO) — REQUIRED BEFORE REAL MONEY</w:t>
            </w:r>
          </w:p>
        </w:tc>
        <w:tc>
          <w:tcPr>
            <w:tcW w:type="dxa" w:w="1440"/>
          </w:tcPr>
          <w:p>
            <w:r>
              <w:t>Replace bracket order with OTO-OCO: limit entry → OCO (take-profit + trail_percent=1.0). Current 15-min polling can miss fast reversals; native stop fires in real-time. Risks: gap window (unprotected between fill and OCO submit), double-sell, OCO failure. Mitigation: USE_NATIVE_TRAILING_STOP feature flag, entry_filled_at DB column, idempotent OCO guard, unit tests with mocked Alpaca client, 2-week paper A/B before enabling.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6.5/10 paper, 4.5/10 real money with ML scorer + lower target. ML scorer (AUC 0.78) adds a quantitative filter before Claude, increasing signal quality. Lower 2% target (vs 3%) is more achievable intraday — increases win rate at the cost of smaller wins per trade. 3:1 R:R maintained; break-even at 25% win rate.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Native Alpaca trailing stop (shipped v5.6)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StopLossRequest(trail_percent=TRAIL_PCT*100) in bracket order stop-loss leg; USE_NATIVE_TRAILING_STOP feature flag; native_trail_active per position; exit_mechanism column tracks NATIVE_TRAIL / TARGET / MANUAL_TRAIL / STOP / EOD; eval.py validates cohort automatically</w:t>
            </w:r>
          </w:p>
        </w:tc>
        <w:tc>
          <w:tcPr>
            <w:tcW w:type="dxa" w:w="1234"/>
          </w:tcPr>
          <w:p>
            <w:r>
              <w:t>Alpaca tracks peak price in real-time and fires stop on reversal — no 15-min polling gap; P0 blocker for real money removed; 2-week paper validation gate running (closes June 1)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ML candidate scorer (shipped v5.5)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HistGradientBoosting model trained on 2y price history for 429 tickers; P(next-day high ≥ close × 1.02); 13 features; AUC 0.78 ± 0.04 (5-fold TimeSeries CV); sorts candidates before Claude; monthly auto-retrain via GitHub Actions</w:t>
            </w:r>
          </w:p>
        </w:tc>
        <w:tc>
          <w:tcPr>
            <w:tcW w:type="dxa" w:w="1234"/>
          </w:tcPr>
          <w:p>
            <w:r>
              <w:t>ML pre-ranks candidates so Claude sees the highest-probability setups first — quantitative signal that complements LLM qualitative reasoning; top feature atr_pct (0.165) confirms volatility is the dominant predictor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/ 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ML candidate scorer (step 1.76)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SHIPPED v5.5 — sorts candidates by P(hit +2%) before Claude; AUC 0.78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Target 2% / stop 0.67% (3:1 R:R)</w:t>
            </w:r>
          </w:p>
        </w:tc>
        <w:tc>
          <w:tcPr>
            <w:tcW w:type="dxa" w:w="1728"/>
          </w:tcPr>
          <w:p>
            <w:r>
              <w:t>Risk Mgmt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v5.5 — lower achievable target; break-even at 25% win rate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Time-of-day entry filter (9:45 AM ET)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v5.4 — skips noisiest first 15 min of market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Pre-market gap filter (live Alpaca prices)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v5.4 — real-time ask prices replace 15-min stale yfinance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ML model live validation (30 days)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Verify AUC 0.78 translates to higher win rate vs baseline; run A/B comparison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Native Alpaca trailing stop (OTO-OCO)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P0 pre-real-money — replace 15-min polling; 8 hrs; feature flag + unit tests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Partial profit taking (50% at +1%)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Automated capital compounding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Makes growth automatic; currently manual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1–2 are the immediate next sprint. ML validation tells us whether AUC 0.78 translates to real win-rate improvement; native trailing stop is P0 before real money. Items 3 and 4 require backtest validation before deploying. Item 9 (short selling) requires the most design work but opens a new profit dimension.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