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6BDE9D" w14:textId="77777777" w:rsidR="00360809" w:rsidRPr="00D61AD8" w:rsidRDefault="00360809" w:rsidP="00BA7AF4">
      <w:pPr>
        <w:widowControl w:val="0"/>
        <w:pBdr>
          <w:top w:val="nil"/>
          <w:left w:val="nil"/>
          <w:bottom w:val="nil"/>
          <w:right w:val="nil"/>
          <w:between w:val="nil"/>
        </w:pBdr>
        <w:bidi w:val="0"/>
        <w:spacing w:line="276" w:lineRule="auto"/>
        <w:rPr>
          <w:rFonts w:ascii="Arial" w:eastAsia="Arial" w:hAnsi="Arial" w:cs="Arial"/>
          <w:color w:val="000000"/>
          <w:sz w:val="22"/>
          <w:szCs w:val="22"/>
          <w:lang w:val="en-US"/>
        </w:rPr>
      </w:pPr>
    </w:p>
    <w:tbl>
      <w:tblPr>
        <w:tblStyle w:val="a"/>
        <w:bidiVisual/>
        <w:tblW w:w="9638" w:type="dxa"/>
        <w:tblInd w:w="-143" w:type="dxa"/>
        <w:tblBorders>
          <w:top w:val="nil"/>
          <w:left w:val="nil"/>
          <w:bottom w:val="nil"/>
          <w:right w:val="nil"/>
          <w:insideH w:val="nil"/>
          <w:insideV w:val="nil"/>
        </w:tblBorders>
        <w:tblLayout w:type="fixed"/>
        <w:tblLook w:val="0000" w:firstRow="0" w:lastRow="0" w:firstColumn="0" w:lastColumn="0" w:noHBand="0" w:noVBand="0"/>
      </w:tblPr>
      <w:tblGrid>
        <w:gridCol w:w="7228"/>
        <w:gridCol w:w="2410"/>
      </w:tblGrid>
      <w:tr w:rsidR="00360809" w14:paraId="2673296F" w14:textId="77777777">
        <w:tc>
          <w:tcPr>
            <w:tcW w:w="7228" w:type="dxa"/>
          </w:tcPr>
          <w:p>
            <w:r>
              <w:t>בבית-המשפט לתביעות קטנות</w:t>
              <w:br/>
              <w:t>בירושלים</w:t>
            </w:r>
          </w:p>
        </w:tc>
        <w:tc>
          <w:tcPr>
            <w:tcW w:w="2410" w:type="dxa"/>
          </w:tcPr>
          <w:p w14:paraId="61B63744" w14:textId="19652843" w:rsidR="00360809" w:rsidRDefault="00360809">
            <w:pPr>
              <w:pBdr>
                <w:top w:val="nil"/>
                <w:left w:val="nil"/>
                <w:bottom w:val="nil"/>
                <w:right w:val="nil"/>
                <w:between w:val="nil"/>
              </w:pBdr>
              <w:jc w:val="both"/>
              <w:rPr>
                <w:sz w:val="24"/>
                <w:szCs w:val="24"/>
              </w:rPr>
            </w:pPr>
          </w:p>
        </w:tc>
      </w:tr>
    </w:tbl>
    <w:p w14:paraId="2B095939" w14:textId="77777777" w:rsidR="00360809" w:rsidRDefault="00360809">
      <w:pPr>
        <w:pBdr>
          <w:top w:val="nil"/>
          <w:left w:val="nil"/>
          <w:bottom w:val="nil"/>
          <w:right w:val="nil"/>
          <w:between w:val="nil"/>
        </w:pBdr>
      </w:pPr>
    </w:p>
    <w:p w14:paraId="20B0A7A4" w14:textId="428B529C" w:rsidR="00360809" w:rsidRDefault="00C57170">
      <w:pPr>
        <w:pBdr>
          <w:top w:val="nil"/>
          <w:left w:val="nil"/>
          <w:bottom w:val="nil"/>
          <w:right w:val="nil"/>
          <w:between w:val="nil"/>
        </w:pBdr>
        <w:jc w:val="both"/>
      </w:pPr>
      <w:bookmarkStart w:id="0" w:name="_gjdgxs" w:colFirst="0" w:colLast="0"/>
      <w:bookmarkEnd w:id="0"/>
      <w:r>
        <w:rPr>
          <w:b/>
          <w:u w:val="single"/>
          <w:rtl/>
        </w:rPr>
        <w:t>התובע</w:t>
      </w:r>
      <w:r>
        <w:rPr>
          <w:b/>
        </w:rPr>
        <w:t>:</w:t>
      </w:r>
      <w:r>
        <w:rPr>
          <w:b/>
        </w:rPr>
        <w:tab/>
      </w:r>
      <w:r>
        <w:tab/>
      </w:r>
      <w:r>
        <w:tab/>
      </w:r>
      <w:r>
        <w:tab/>
      </w:r>
      <w:r>
        <w:tab/>
      </w:r>
      <w:proofErr w:type="spellStart"/>
      <w:r w:rsidR="00F67A81">
        <w:rPr>
          <w:b/>
          <w:lang w:val="en-US"/>
        </w:rPr>
        <w:t>amit hacoon</w:t>
      </w:r>
      <w:proofErr w:type="spellEnd"/>
      <w:r>
        <w:rPr>
          <w:b/>
          <w:rtl/>
        </w:rPr>
        <w:t xml:space="preserve"> ת"ז </w:t>
      </w:r>
      <w:proofErr w:type="spellStart"/>
      <w:r w:rsidR="00CB2A96">
        <w:rPr>
          <w:b/>
        </w:rPr>
        <w:t>1</w:t>
      </w:r>
      <w:proofErr w:type="spellEnd"/>
      <w:r>
        <w:rPr>
          <w:b/>
          <w:rtl/>
        </w:rPr>
        <w:t xml:space="preserve"> </w:t>
      </w:r>
    </w:p>
    <w:p w14:paraId="341C0071" w14:textId="1581717D" w:rsidR="00360809" w:rsidRDefault="00C57170">
      <w:pPr>
        <w:pBdr>
          <w:top w:val="nil"/>
          <w:left w:val="nil"/>
          <w:bottom w:val="nil"/>
          <w:right w:val="nil"/>
          <w:between w:val="nil"/>
        </w:pBdr>
        <w:jc w:val="both"/>
      </w:pPr>
      <w:r>
        <w:rPr>
          <w:b/>
        </w:rPr>
        <w:tab/>
      </w:r>
      <w:r>
        <w:rPr>
          <w:b/>
        </w:rPr>
        <w:tab/>
      </w:r>
      <w:r>
        <w:rPr>
          <w:b/>
        </w:rPr>
        <w:tab/>
      </w:r>
      <w:r>
        <w:rPr>
          <w:b/>
        </w:rPr>
        <w:tab/>
      </w:r>
      <w:r>
        <w:rPr>
          <w:b/>
        </w:rPr>
        <w:tab/>
      </w:r>
      <w:r>
        <w:rPr>
          <w:rtl/>
        </w:rPr>
        <w:t xml:space="preserve">מרחוב </w:t>
      </w:r>
      <w:proofErr w:type="spellStart"/>
      <w:r w:rsidR="00F67A81">
        <w:t>Pinsker 21 apartment 9</w:t>
      </w:r>
      <w:proofErr w:type="spellEnd"/>
    </w:p>
    <w:p w14:paraId="3149BBEE" w14:textId="1BFBFBEB" w:rsidR="00360809" w:rsidRDefault="00C57170">
      <w:pPr>
        <w:pBdr>
          <w:top w:val="nil"/>
          <w:left w:val="nil"/>
          <w:bottom w:val="nil"/>
          <w:right w:val="nil"/>
          <w:between w:val="nil"/>
        </w:pBdr>
        <w:jc w:val="both"/>
      </w:pPr>
      <w:r>
        <w:rPr>
          <w:rtl/>
        </w:rPr>
        <w:tab/>
      </w:r>
      <w:r>
        <w:rPr>
          <w:rtl/>
        </w:rPr>
        <w:tab/>
      </w:r>
      <w:r>
        <w:rPr>
          <w:rtl/>
        </w:rPr>
        <w:tab/>
      </w:r>
      <w:r>
        <w:rPr>
          <w:rtl/>
        </w:rPr>
        <w:tab/>
      </w:r>
      <w:r>
        <w:rPr>
          <w:rtl/>
        </w:rPr>
        <w:tab/>
        <w:t xml:space="preserve">טלפון: </w:t>
      </w:r>
      <w:proofErr w:type="spellStart"/>
      <w:r w:rsidR="00CB2A96">
        <w:t>0544433283</w:t>
      </w:r>
      <w:proofErr w:type="spellEnd"/>
    </w:p>
    <w:p w14:paraId="74BB5ADF" w14:textId="77777777" w:rsidR="00360809" w:rsidRDefault="00360809">
      <w:pPr>
        <w:pBdr>
          <w:top w:val="nil"/>
          <w:left w:val="nil"/>
          <w:bottom w:val="nil"/>
          <w:right w:val="nil"/>
          <w:between w:val="nil"/>
        </w:pBdr>
        <w:ind w:left="3626"/>
        <w:jc w:val="both"/>
      </w:pPr>
    </w:p>
    <w:p w14:paraId="529A0CCE" w14:textId="77777777" w:rsidR="00360809" w:rsidRDefault="00C57170">
      <w:pPr>
        <w:pBdr>
          <w:top w:val="nil"/>
          <w:left w:val="nil"/>
          <w:bottom w:val="nil"/>
          <w:right w:val="nil"/>
          <w:between w:val="nil"/>
        </w:pBdr>
        <w:jc w:val="both"/>
      </w:pPr>
      <w:r>
        <w:tab/>
      </w:r>
      <w:r>
        <w:tab/>
      </w:r>
      <w:r>
        <w:tab/>
      </w:r>
      <w:r>
        <w:tab/>
      </w:r>
      <w:r>
        <w:tab/>
      </w:r>
      <w:r>
        <w:tab/>
        <w:t xml:space="preserve">        </w:t>
      </w:r>
      <w:r>
        <w:rPr>
          <w:b/>
          <w:rtl/>
        </w:rPr>
        <w:t>-   נ   ג   ד   -</w:t>
      </w:r>
    </w:p>
    <w:p w14:paraId="7AEA14F9" w14:textId="77777777" w:rsidR="00360809" w:rsidRDefault="00360809">
      <w:pPr>
        <w:pBdr>
          <w:top w:val="nil"/>
          <w:left w:val="nil"/>
          <w:bottom w:val="nil"/>
          <w:right w:val="nil"/>
          <w:between w:val="nil"/>
        </w:pBdr>
        <w:jc w:val="both"/>
      </w:pPr>
    </w:p>
    <w:p w14:paraId="01338202" w14:textId="4DDF7306" w:rsidR="00360809" w:rsidRDefault="00C57170" w:rsidP="00F4653E">
      <w:pPr>
        <w:pBdr>
          <w:top w:val="nil"/>
          <w:left w:val="nil"/>
          <w:bottom w:val="nil"/>
          <w:right w:val="nil"/>
          <w:between w:val="nil"/>
        </w:pBdr>
        <w:rPr>
          <w:b/>
        </w:rPr>
      </w:pPr>
      <w:r>
        <w:rPr>
          <w:b/>
          <w:u w:val="single"/>
          <w:rtl/>
        </w:rPr>
        <w:t>הנתבע</w:t>
      </w:r>
      <w:r w:rsidR="00F91FD1">
        <w:rPr>
          <w:rFonts w:hint="cs"/>
          <w:b/>
          <w:rtl/>
        </w:rPr>
        <w:t>ים</w:t>
      </w:r>
      <w:r>
        <w:rPr>
          <w:b/>
          <w:rtl/>
        </w:rPr>
        <w:t>:</w:t>
      </w:r>
      <w:r>
        <w:rPr>
          <w:b/>
          <w:rtl/>
        </w:rPr>
        <w:tab/>
      </w:r>
      <w:r>
        <w:rPr>
          <w:b/>
          <w:rtl/>
        </w:rPr>
        <w:tab/>
      </w:r>
      <w:r>
        <w:rPr>
          <w:b/>
          <w:rtl/>
        </w:rPr>
        <w:tab/>
      </w:r>
      <w:r>
        <w:rPr>
          <w:b/>
          <w:rtl/>
        </w:rPr>
        <w:tab/>
      </w:r>
      <w:r w:rsidR="00CB2A96">
        <w:rPr>
          <w:b/>
        </w:rPr>
        <w:t xml:space="preserve"> </w:t>
      </w:r>
      <w:proofErr w:type="spellStart"/>
      <w:r w:rsidR="00CB2A96">
        <w:rPr>
          <w:b/>
        </w:rPr>
        <w:t>meir haccun</w:t>
      </w:r>
      <w:proofErr w:type="spellEnd"/>
      <w:r w:rsidR="00F66BE0">
        <w:rPr>
          <w:rFonts w:hint="cs"/>
          <w:b/>
          <w:rtl/>
        </w:rPr>
        <w:t>ח.פ</w:t>
      </w:r>
      <w:r>
        <w:rPr>
          <w:b/>
          <w:rtl/>
        </w:rPr>
        <w:t xml:space="preserve"> </w:t>
      </w:r>
      <w:proofErr w:type="spellStart"/>
      <w:r w:rsidR="00CB2A96">
        <w:rPr>
          <w:b/>
        </w:rPr>
        <w:t>-1</w:t>
      </w:r>
      <w:proofErr w:type="spellEnd"/>
    </w:p>
    <w:p w14:paraId="300F296B" w14:textId="44B0DD2F" w:rsidR="00360809" w:rsidRDefault="00A760BE" w:rsidP="00F4653E">
      <w:pPr>
        <w:pBdr>
          <w:top w:val="nil"/>
          <w:left w:val="nil"/>
          <w:bottom w:val="nil"/>
          <w:right w:val="nil"/>
          <w:between w:val="nil"/>
        </w:pBdr>
        <w:ind w:left="3626"/>
        <w:rPr>
          <w:rtl/>
        </w:rPr>
      </w:pPr>
      <w:proofErr w:type="spellStart"/>
      <w:r>
        <w:t>meir haccun</w:t>
      </w:r>
      <w:r w:rsidR="00057C89"/>
      <w:proofErr w:type="spellEnd"/>
      <w:r w:rsidR="00C57170">
        <w:rPr>
          <w:rtl/>
        </w:rPr>
        <w:br/>
        <w:t xml:space="preserve">טלפון: </w:t>
      </w:r>
      <w:proofErr w:type="spellStart"/>
      <w:r w:rsidR="000265C5">
        <w:t>0544539658</w:t>
      </w:r>
      <w:proofErr w:type="spellEnd"/>
    </w:p>
    <w:p w14:paraId="50B4CB88" w14:textId="4112BEBB" w:rsidR="00360809" w:rsidRDefault="00F91FD1">
      <w:pPr>
        <w:pBdr>
          <w:top w:val="nil"/>
          <w:left w:val="nil"/>
          <w:bottom w:val="nil"/>
          <w:right w:val="nil"/>
          <w:between w:val="nil"/>
        </w:pBdr>
        <w:ind w:left="3626"/>
        <w:jc w:val="both"/>
        <w:rPr>
          <w:rtl/>
        </w:rPr>
      </w:pPr>
      <w:r>
        <w:t xml:space="preserve"> </w:t>
      </w:r>
    </w:p>
    <w:p w14:paraId="072BD43E" w14:textId="4B287198" w:rsidR="00F91FD1" w:rsidRPr="00DF2D06" w:rsidRDefault="006A1234">
      <w:pPr>
        <w:pBdr>
          <w:top w:val="nil"/>
          <w:left w:val="nil"/>
          <w:bottom w:val="nil"/>
          <w:right w:val="nil"/>
          <w:between w:val="nil"/>
        </w:pBdr>
        <w:ind w:left="3626"/>
        <w:jc w:val="both"/>
        <w:rPr>
          <w:b/>
          <w:bCs/>
          <w:rtl/>
        </w:rPr>
      </w:pPr>
      <w:r w:rsidRPr="00DF2D06">
        <w:rPr>
          <w:b/>
          <w:bCs/>
        </w:rPr>
        <w:t xml:space="preserve"> אופיר ברעם</w:t>
      </w:r>
      <w:r w:rsidR="00A760BE" w:rsidRPr="00DF2D06">
        <w:rPr>
          <w:b/>
          <w:bCs/>
        </w:rPr>
      </w:r>
      <w:r w:rsidR="00F91FD1" w:rsidRPr="00DF2D06">
        <w:rPr>
          <w:rFonts w:hint="cs"/>
          <w:b/>
          <w:bCs/>
          <w:rtl/>
        </w:rPr>
        <w:t xml:space="preserve">ת״ז </w:t>
      </w:r>
      <w:proofErr w:type="spellStart"/>
      <w:r w:rsidRPr="00DF2D06">
        <w:rPr>
          <w:b/>
          <w:bCs/>
        </w:rPr>
        <w:t>-1</w:t>
      </w:r>
      <w:proofErr w:type="spellEnd"/>
    </w:p>
    <w:p w14:paraId="7EB2B9DE" w14:textId="6AF4CBFC" w:rsidR="00867538" w:rsidRDefault="00867538" w:rsidP="00897E56">
      <w:pPr>
        <w:pBdr>
          <w:top w:val="nil"/>
          <w:left w:val="nil"/>
          <w:bottom w:val="nil"/>
          <w:right w:val="nil"/>
          <w:between w:val="nil"/>
        </w:pBdr>
        <w:ind w:left="3626"/>
        <w:jc w:val="both"/>
        <w:rPr>
          <w:rtl/>
        </w:rPr>
      </w:pPr>
      <w:r>
        <w:rPr>
          <w:rFonts w:hint="cs"/>
          <w:rtl/>
        </w:rPr>
        <w:t xml:space="preserve">מרחוב </w:t>
      </w:r>
      <w:proofErr w:type="spellStart"/>
      <w:r w:rsidR="00897E56">
        <w:t>Pinsker 21 apartment 9</w:t>
      </w:r>
      <w:proofErr w:type="spellEnd"/>
    </w:p>
    <w:p w14:paraId="12F37F12" w14:textId="529D72D1" w:rsidR="00867538" w:rsidRDefault="00867538">
      <w:pPr>
        <w:pBdr>
          <w:top w:val="nil"/>
          <w:left w:val="nil"/>
          <w:bottom w:val="nil"/>
          <w:right w:val="nil"/>
          <w:between w:val="nil"/>
        </w:pBdr>
        <w:ind w:left="3626"/>
        <w:jc w:val="both"/>
        <w:rPr>
          <w:rtl/>
        </w:rPr>
      </w:pPr>
      <w:r>
        <w:rPr>
          <w:rFonts w:hint="cs"/>
          <w:rtl/>
        </w:rPr>
        <w:t xml:space="preserve">טלפון </w:t>
      </w:r>
      <w:proofErr w:type="spellStart"/>
      <w:r w:rsidR="00897E56">
        <w:t>0544433283</w:t>
      </w:r>
      <w:proofErr w:type="spellEnd"/>
    </w:p>
    <w:p w14:paraId="42F107B2" w14:textId="77777777" w:rsidR="00360809" w:rsidRPr="005A3FA6" w:rsidRDefault="00360809">
      <w:pPr>
        <w:pBdr>
          <w:top w:val="nil"/>
          <w:left w:val="nil"/>
          <w:bottom w:val="nil"/>
          <w:right w:val="nil"/>
          <w:between w:val="nil"/>
        </w:pBdr>
        <w:jc w:val="both"/>
        <w:rPr>
          <w:vertAlign w:val="subscript"/>
        </w:rPr>
      </w:pPr>
    </w:p>
    <w:p w14:paraId="33C10D62" w14:textId="77777777" w:rsidR="00360809" w:rsidRDefault="00360809">
      <w:pPr>
        <w:pBdr>
          <w:top w:val="nil"/>
          <w:left w:val="nil"/>
          <w:bottom w:val="nil"/>
          <w:right w:val="nil"/>
          <w:between w:val="nil"/>
        </w:pBdr>
        <w:jc w:val="both"/>
      </w:pPr>
    </w:p>
    <w:p w14:paraId="102B3AA7" w14:textId="05E6BF74" w:rsidR="00360809" w:rsidRDefault="00C57170">
      <w:pPr>
        <w:pBdr>
          <w:top w:val="nil"/>
          <w:left w:val="nil"/>
          <w:bottom w:val="nil"/>
          <w:right w:val="nil"/>
          <w:between w:val="nil"/>
        </w:pBdr>
        <w:jc w:val="both"/>
      </w:pPr>
      <w:r>
        <w:rPr>
          <w:b/>
          <w:u w:val="single"/>
          <w:rtl/>
        </w:rPr>
        <w:t>סכום התביעה</w:t>
      </w:r>
      <w:r>
        <w:rPr>
          <w:b/>
        </w:rPr>
        <w:t>:</w:t>
      </w:r>
      <w:r>
        <w:rPr>
          <w:b/>
        </w:rPr>
        <w:tab/>
      </w:r>
      <w:proofErr w:type="spellStart"/>
      <w:r w:rsidR="00463375">
        <w:rPr>
          <w:b/>
          <w:lang w:val="en-US"/>
        </w:rPr>
        <w:t>1</w:t>
      </w:r>
      <w:proofErr w:type="spellEnd"/>
      <w:r>
        <w:rPr>
          <w:b/>
        </w:rPr>
        <w:t>,000 ₪</w:t>
      </w:r>
    </w:p>
    <w:p w14:paraId="6575C82C" w14:textId="77777777" w:rsidR="00360809" w:rsidRDefault="00360809">
      <w:pPr>
        <w:pBdr>
          <w:top w:val="nil"/>
          <w:left w:val="nil"/>
          <w:bottom w:val="nil"/>
          <w:right w:val="nil"/>
          <w:between w:val="nil"/>
        </w:pBdr>
      </w:pPr>
    </w:p>
    <w:p w14:paraId="728D1FF7" w14:textId="77777777" w:rsidR="00360809" w:rsidRDefault="00C57170">
      <w:pPr>
        <w:pBdr>
          <w:top w:val="nil"/>
          <w:left w:val="nil"/>
          <w:bottom w:val="nil"/>
          <w:right w:val="nil"/>
          <w:between w:val="nil"/>
        </w:pBdr>
        <w:jc w:val="center"/>
      </w:pPr>
      <w:r>
        <w:rPr>
          <w:b/>
          <w:sz w:val="36"/>
          <w:szCs w:val="36"/>
          <w:u w:val="single"/>
          <w:rtl/>
        </w:rPr>
        <w:t>כתב תביעה</w:t>
      </w:r>
    </w:p>
    <w:p w14:paraId="2B103AB9" w14:textId="77777777" w:rsidR="00360809" w:rsidRDefault="00360809">
      <w:pPr>
        <w:pBdr>
          <w:top w:val="nil"/>
          <w:left w:val="nil"/>
          <w:bottom w:val="nil"/>
          <w:right w:val="nil"/>
          <w:between w:val="nil"/>
        </w:pBdr>
      </w:pPr>
    </w:p>
    <w:p w14:paraId="28A98594" w14:textId="77777777" w:rsidR="00360809" w:rsidRDefault="00C57170">
      <w:pPr>
        <w:pBdr>
          <w:top w:val="nil"/>
          <w:left w:val="nil"/>
          <w:bottom w:val="nil"/>
          <w:right w:val="nil"/>
          <w:between w:val="nil"/>
        </w:pBdr>
        <w:jc w:val="both"/>
      </w:pPr>
      <w:r>
        <w:rPr>
          <w:rtl/>
        </w:rPr>
        <w:t xml:space="preserve">עניינה של תובענה זו במעשי ובמחדלי הנתבע, שעיקרם במשלוח דבר פרסומת לתובע, ללא הסכמתו ובניגוד להוראות סעיף 30א לחוק התקשורת (בזק ושירותים), </w:t>
      </w:r>
      <w:proofErr w:type="spellStart"/>
      <w:r>
        <w:rPr>
          <w:rtl/>
        </w:rPr>
        <w:t>התשמ"ב</w:t>
      </w:r>
      <w:proofErr w:type="spellEnd"/>
      <w:r>
        <w:rPr>
          <w:rtl/>
        </w:rPr>
        <w:t xml:space="preserve"> – 1982 (להלן: "</w:t>
      </w:r>
      <w:r>
        <w:rPr>
          <w:b/>
          <w:rtl/>
        </w:rPr>
        <w:t>חוק</w:t>
      </w:r>
      <w:r>
        <w:rPr>
          <w:rtl/>
        </w:rPr>
        <w:t xml:space="preserve"> התקשורת")</w:t>
      </w:r>
    </w:p>
    <w:p w14:paraId="0A76455A" w14:textId="77777777" w:rsidR="00360809" w:rsidRDefault="00360809">
      <w:pPr>
        <w:pBdr>
          <w:top w:val="nil"/>
          <w:left w:val="nil"/>
          <w:bottom w:val="nil"/>
          <w:right w:val="nil"/>
          <w:between w:val="nil"/>
        </w:pBdr>
        <w:jc w:val="both"/>
      </w:pPr>
    </w:p>
    <w:p w14:paraId="764F4537" w14:textId="77777777" w:rsidR="00360809" w:rsidRDefault="00C57170">
      <w:pPr>
        <w:pBdr>
          <w:top w:val="nil"/>
          <w:left w:val="nil"/>
          <w:bottom w:val="nil"/>
          <w:right w:val="nil"/>
          <w:between w:val="nil"/>
        </w:pBdr>
        <w:jc w:val="both"/>
      </w:pPr>
      <w:r>
        <w:rPr>
          <w:b/>
          <w:sz w:val="28"/>
          <w:szCs w:val="28"/>
          <w:u w:val="single"/>
          <w:rtl/>
        </w:rPr>
        <w:t>פרטי התביעה</w:t>
      </w:r>
      <w:r>
        <w:rPr>
          <w:sz w:val="28"/>
          <w:szCs w:val="28"/>
        </w:rPr>
        <w:t>:</w:t>
      </w:r>
    </w:p>
    <w:p w14:paraId="5A1F3FAC" w14:textId="77777777" w:rsidR="00360809" w:rsidRDefault="00360809">
      <w:pPr>
        <w:pBdr>
          <w:top w:val="nil"/>
          <w:left w:val="nil"/>
          <w:bottom w:val="nil"/>
          <w:right w:val="nil"/>
          <w:between w:val="nil"/>
        </w:pBdr>
        <w:jc w:val="both"/>
      </w:pPr>
    </w:p>
    <w:p w14:paraId="7BDA8A83" w14:textId="77777777" w:rsidR="00360809" w:rsidRDefault="00C57170">
      <w:pPr>
        <w:pBdr>
          <w:top w:val="nil"/>
          <w:left w:val="nil"/>
          <w:bottom w:val="nil"/>
          <w:right w:val="nil"/>
          <w:between w:val="nil"/>
        </w:pBdr>
        <w:spacing w:after="240"/>
        <w:jc w:val="both"/>
      </w:pPr>
      <w:r>
        <w:rPr>
          <w:b/>
          <w:u w:val="single"/>
          <w:rtl/>
        </w:rPr>
        <w:t>הצדדים</w:t>
      </w:r>
    </w:p>
    <w:p w14:paraId="0A00CC6A" w14:textId="45EDCBDE" w:rsidR="00360809" w:rsidRDefault="00C57170">
      <w:pPr>
        <w:numPr>
          <w:ilvl w:val="0"/>
          <w:numId w:val="1"/>
        </w:numPr>
        <w:pBdr>
          <w:top w:val="nil"/>
          <w:left w:val="nil"/>
          <w:bottom w:val="nil"/>
          <w:right w:val="nil"/>
          <w:between w:val="nil"/>
        </w:pBdr>
        <w:spacing w:after="240"/>
        <w:ind w:hanging="360"/>
        <w:jc w:val="both"/>
      </w:pPr>
      <w:r>
        <w:rPr>
          <w:rtl/>
        </w:rPr>
        <w:t xml:space="preserve">התובע הינו הבעלים של קו טלפון סלולארי שמספרו </w:t>
      </w:r>
      <w:proofErr w:type="spellStart"/>
      <w:r w:rsidR="000379FC">
        <w:t>0544433283</w:t>
      </w:r>
      <w:proofErr w:type="spellEnd"/>
      <w:r>
        <w:rPr>
          <w:rtl/>
        </w:rPr>
        <w:t>.</w:t>
      </w:r>
    </w:p>
    <w:p w14:paraId="5BAEA5B2" w14:textId="303E518B" w:rsidR="00360809" w:rsidRDefault="00C57170">
      <w:pPr>
        <w:numPr>
          <w:ilvl w:val="0"/>
          <w:numId w:val="1"/>
        </w:numPr>
        <w:pBdr>
          <w:top w:val="nil"/>
          <w:left w:val="nil"/>
          <w:bottom w:val="nil"/>
          <w:right w:val="nil"/>
          <w:between w:val="nil"/>
        </w:pBdr>
        <w:spacing w:after="240"/>
        <w:ind w:hanging="360"/>
        <w:jc w:val="both"/>
      </w:pPr>
      <w:r>
        <w:rPr>
          <w:rtl/>
        </w:rPr>
        <w:t xml:space="preserve">הנתבע הינו עוסק מורשה העוסק </w:t>
      </w:r>
      <w:proofErr w:type="spellStart"/>
      <w:r w:rsidR="008F52BB">
        <w:rPr>
          <w:rFonts w:hint="cs"/>
          <w:rtl/>
        </w:rPr>
        <w:t>ב</w:t>
      </w:r>
      <w:r w:rsidR="00467D2A">
        <w:rPr>
          <w:rFonts w:hint="cs"/>
          <w:rtl/>
        </w:rPr>
        <w:t>אוכל מהיר</w:t>
      </w:r>
      <w:proofErr w:type="spellEnd"/>
      <w:r>
        <w:rPr>
          <w:rtl/>
        </w:rPr>
        <w:t xml:space="preserve"> באזור </w:t>
      </w:r>
      <w:proofErr w:type="spellStart"/>
      <w:r w:rsidR="00CF5640">
        <w:t>Afula</w:t>
      </w:r>
      <w:proofErr w:type="spellEnd"/>
      <w:r>
        <w:rPr>
          <w:rtl/>
        </w:rPr>
        <w:t xml:space="preserve"> (רישום כעוסק מורשה מופיע ב</w:t>
      </w:r>
      <w:r>
        <w:rPr>
          <w:b/>
          <w:rtl/>
        </w:rPr>
        <w:t>נספח ב'</w:t>
      </w:r>
      <w:r w:rsidR="0037766D">
        <w:t>(</w:t>
      </w:r>
      <w:r>
        <w:t>.</w:t>
      </w:r>
    </w:p>
    <w:p w14:paraId="5617776D" w14:textId="77777777" w:rsidR="00360809" w:rsidRDefault="00C57170">
      <w:pPr>
        <w:pBdr>
          <w:top w:val="nil"/>
          <w:left w:val="nil"/>
          <w:bottom w:val="nil"/>
          <w:right w:val="nil"/>
          <w:between w:val="nil"/>
        </w:pBdr>
        <w:spacing w:after="240"/>
        <w:jc w:val="both"/>
      </w:pPr>
      <w:r>
        <w:rPr>
          <w:b/>
          <w:u w:val="single"/>
          <w:rtl/>
        </w:rPr>
        <w:t>פרשת התביעה</w:t>
      </w:r>
    </w:p>
    <w:p w14:paraId="5D4D81AA" w14:textId="77777777" w:rsidR="00360809" w:rsidRDefault="00C57170">
      <w:pPr>
        <w:numPr>
          <w:ilvl w:val="0"/>
          <w:numId w:val="2"/>
        </w:numPr>
        <w:pBdr>
          <w:top w:val="nil"/>
          <w:left w:val="nil"/>
          <w:bottom w:val="nil"/>
          <w:right w:val="nil"/>
          <w:between w:val="nil"/>
        </w:pBdr>
        <w:spacing w:after="240"/>
        <w:ind w:hanging="360"/>
        <w:jc w:val="both"/>
      </w:pPr>
      <w:r>
        <w:rPr>
          <w:rtl/>
        </w:rPr>
        <w:t>טרם קבלת המסרון, נשוא תובענה זו, התובע מעולם לא יצר קשר עם הנתבע או מי מטעמו ובוודאי שלא נתן לנתבע את הסכמתו לקבלת דברי פרסומת באמצעות הודעות מסר קצר, או בכל אמצעי אחר.</w:t>
      </w:r>
    </w:p>
    <w:p w14:paraId="01743446" w14:textId="453EA3D8" w:rsidR="00360809" w:rsidRDefault="00CD652B" w:rsidP="004F28C4">
      <w:pPr>
        <w:numPr>
          <w:ilvl w:val="0"/>
          <w:numId w:val="2"/>
        </w:numPr>
        <w:pBdr>
          <w:top w:val="nil"/>
          <w:left w:val="nil"/>
          <w:bottom w:val="nil"/>
          <w:right w:val="nil"/>
          <w:between w:val="nil"/>
        </w:pBdr>
        <w:spacing w:after="240"/>
        <w:ind w:hanging="360"/>
      </w:pPr>
      <w:r>
        <w:t xml:space="preserve"> </w:t>
      </w:r>
      <w:proofErr w:type="spellStart"/>
      <w:r w:rsidR="0037766D">
        <w:t>ביום 01/01/0001  בשעה 01:01</w:t>
      </w:r>
      <w:proofErr w:type="spellEnd"/>
      <w:r w:rsidR="00C57170">
        <w:rPr>
          <w:rtl/>
        </w:rPr>
        <w:t>, שיגר הנתבע דבר פרסומת לתובע, באמצעות הודעות מסר קצר להלן: "</w:t>
      </w:r>
      <w:r w:rsidR="00C57170">
        <w:rPr>
          <w:b/>
          <w:rtl/>
        </w:rPr>
        <w:t>ההודעה הפרסומי</w:t>
      </w:r>
      <w:r w:rsidR="003B0E3F">
        <w:rPr>
          <w:rFonts w:hint="cs"/>
          <w:b/>
          <w:rtl/>
        </w:rPr>
        <w:t>ת״</w:t>
      </w:r>
      <w:r w:rsidR="00C57170">
        <w:t xml:space="preserve">) </w:t>
      </w:r>
      <w:r w:rsidR="00C57170">
        <w:rPr>
          <w:b/>
          <w:rtl/>
        </w:rPr>
        <w:t xml:space="preserve">העתק של ההודעה הפרסומית מצ"ב לכתב התביעה ומסומן </w:t>
      </w:r>
      <w:r w:rsidR="00C57170">
        <w:rPr>
          <w:u w:val="single"/>
          <w:rtl/>
        </w:rPr>
        <w:t xml:space="preserve">כנספח </w:t>
      </w:r>
      <w:proofErr w:type="gramStart"/>
      <w:r w:rsidR="00C57170">
        <w:rPr>
          <w:u w:val="single"/>
          <w:rtl/>
        </w:rPr>
        <w:t>א</w:t>
      </w:r>
      <w:r w:rsidR="00902355">
        <w:rPr>
          <w:u w:val="single"/>
        </w:rPr>
        <w:t>(</w:t>
      </w:r>
      <w:proofErr w:type="gramEnd"/>
      <w:r w:rsidR="00C57170">
        <w:rPr>
          <w:b/>
          <w:u w:val="single"/>
        </w:rPr>
        <w:t>'</w:t>
      </w:r>
      <w:r w:rsidR="00C57170">
        <w:rPr>
          <w:b/>
        </w:rPr>
        <w:t>.</w:t>
      </w:r>
    </w:p>
    <w:p w14:paraId="620608EA" w14:textId="22168263" w:rsidR="00360809" w:rsidRPr="00921A7E" w:rsidRDefault="00921A7E" w:rsidP="006D3719">
      <w:pPr>
        <w:numPr>
          <w:ilvl w:val="0"/>
          <w:numId w:val="2"/>
        </w:numPr>
        <w:pBdr>
          <w:top w:val="nil"/>
          <w:left w:val="nil"/>
          <w:bottom w:val="nil"/>
          <w:right w:val="nil"/>
          <w:between w:val="nil"/>
        </w:pBdr>
        <w:spacing w:after="240"/>
        <w:ind w:left="714" w:hanging="357"/>
        <w:jc w:val="both"/>
      </w:pPr>
      <w:r w:rsidRPr="00921A7E">
        <w:rPr>
          <w:lang w:val="en-US"/>
        </w:rPr>
        <w:t>יודגש כי הנתבע לא סיפק אפשרות חוקית להסרת התובע מקבלת הודעות פרסומיות, ובלאו הכי לא קיבל לכך .אישור מראש מהתובע</w:t>
      </w:r>
    </w:p>
    <w:p w14:paraId="1C90EEA6" w14:textId="5393BE1E" w:rsidR="00360809" w:rsidRDefault="005A3FA6" w:rsidP="00086482">
      <w:pPr>
        <w:numPr>
          <w:ilvl w:val="0"/>
          <w:numId w:val="2"/>
        </w:numPr>
        <w:pBdr>
          <w:top w:val="nil"/>
          <w:left w:val="nil"/>
          <w:bottom w:val="nil"/>
          <w:right w:val="nil"/>
          <w:between w:val="nil"/>
        </w:pBdr>
        <w:spacing w:after="240"/>
        <w:ind w:hanging="360"/>
        <w:jc w:val="both"/>
      </w:pPr>
      <w:r>
        <w:rPr>
          <w:rFonts w:hint="cs"/>
          <w:rtl/>
        </w:rPr>
        <w:t xml:space="preserve">לאחר קבלת ההודעה </w:t>
      </w:r>
      <w:r>
        <w:rPr>
          <w:rtl/>
        </w:rPr>
        <w:t>–</w:t>
      </w:r>
      <w:r>
        <w:rPr>
          <w:rFonts w:hint="cs"/>
          <w:rtl/>
        </w:rPr>
        <w:t xml:space="preserve"> </w:t>
      </w:r>
      <w:proofErr w:type="spellStart"/>
      <w:r w:rsidR="006D3719">
        <w:rPr>
          <w:lang w:val="en-US"/>
        </w:rPr>
        <w:t>asdf</w:t>
      </w:r>
      <w:proofErr w:type="spellEnd"/>
      <w:r>
        <w:rPr>
          <w:rFonts w:hint="cs"/>
          <w:rtl/>
        </w:rPr>
        <w:t xml:space="preserve"> ואף נשלח מכתב התראה טרם נקיטת צעדים משפטיים לחברה</w:t>
      </w:r>
      <w:r w:rsidR="00086482">
        <w:t>.</w:t>
      </w:r>
    </w:p>
    <w:p w14:paraId="65F170B8" w14:textId="2ACEAB4F" w:rsidR="00AA23BD" w:rsidRDefault="00AA23BD" w:rsidP="00086482">
      <w:pPr>
        <w:numPr>
          <w:ilvl w:val="0"/>
          <w:numId w:val="2"/>
        </w:numPr>
        <w:pBdr>
          <w:top w:val="nil"/>
          <w:left w:val="nil"/>
          <w:bottom w:val="nil"/>
          <w:right w:val="nil"/>
          <w:between w:val="nil"/>
        </w:pBdr>
        <w:spacing w:after="240"/>
        <w:ind w:hanging="360"/>
        <w:jc w:val="both"/>
      </w:pPr>
      <w:r>
        <w:rPr>
          <w:rFonts w:hint="cs"/>
          <w:rtl/>
        </w:rPr>
        <w:t xml:space="preserve">תגובת החברה </w:t>
      </w:r>
      <w:proofErr w:type="spellStart"/>
      <w:r>
        <w:rPr>
          <w:lang w:val="en-US"/>
        </w:rPr>
        <w:t>saf</w:t>
      </w:r>
      <w:proofErr w:type="spellEnd"/>
    </w:p>
    <w:p w14:paraId="7F201BFC" w14:textId="77777777" w:rsidR="00360809" w:rsidRDefault="00C57170">
      <w:pPr>
        <w:numPr>
          <w:ilvl w:val="0"/>
          <w:numId w:val="2"/>
        </w:numPr>
        <w:pBdr>
          <w:top w:val="nil"/>
          <w:left w:val="nil"/>
          <w:bottom w:val="nil"/>
          <w:right w:val="nil"/>
          <w:between w:val="nil"/>
        </w:pBdr>
        <w:spacing w:after="240"/>
        <w:ind w:hanging="360"/>
        <w:jc w:val="both"/>
      </w:pPr>
      <w:r>
        <w:rPr>
          <w:rtl/>
        </w:rPr>
        <w:t xml:space="preserve">כל "עסק" מרשה לעצמו לפרסם את מרכולתו בצורה הזאת תוך עבירה על החוקים, דרך פרסום זאת היא מהמשתלמות ביותר, עלות סמס ברכישת חבילה גדולה מגיע לכדי 4 אג' (ואף למטה מזה), איסוף המידע הינו חינמי </w:t>
      </w:r>
      <w:r>
        <w:rPr>
          <w:rtl/>
        </w:rPr>
        <w:t xml:space="preserve">או בעלות זניחה של כ200-400 ש"ח לרשימות תפוצה של 10000 מספרי טלפון, ואכיפה לא קיימת ומסתמכת על אכיפה אזרחית זניחה ופסיקה מאוד סלחנית מטעם בתי המשפט. </w:t>
      </w:r>
    </w:p>
    <w:p w14:paraId="0DDE8FE8" w14:textId="77777777" w:rsidR="00360809" w:rsidRDefault="00C57170">
      <w:pPr>
        <w:numPr>
          <w:ilvl w:val="0"/>
          <w:numId w:val="2"/>
        </w:numPr>
        <w:pBdr>
          <w:top w:val="nil"/>
          <w:left w:val="nil"/>
          <w:bottom w:val="nil"/>
          <w:right w:val="nil"/>
          <w:between w:val="nil"/>
        </w:pBdr>
        <w:spacing w:after="240"/>
        <w:ind w:hanging="360"/>
        <w:jc w:val="both"/>
      </w:pPr>
      <w:r>
        <w:rPr>
          <w:rtl/>
        </w:rPr>
        <w:t>יודגש ויובהר כי התובע לא היה ואינו מעוניין בשירותי ו/או מוצרי הנתבע, מעולם לא פגש איש מטעמו או יצר עימו קשר לקבלת שירות כזה או אחר.</w:t>
      </w:r>
    </w:p>
    <w:p w14:paraId="2E43666A" w14:textId="77777777" w:rsidR="00360809" w:rsidRDefault="00C57170">
      <w:pPr>
        <w:numPr>
          <w:ilvl w:val="0"/>
          <w:numId w:val="2"/>
        </w:numPr>
        <w:pBdr>
          <w:top w:val="nil"/>
          <w:left w:val="nil"/>
          <w:bottom w:val="nil"/>
          <w:right w:val="nil"/>
          <w:between w:val="nil"/>
        </w:pBdr>
        <w:spacing w:after="240"/>
        <w:ind w:hanging="360"/>
        <w:jc w:val="both"/>
      </w:pPr>
      <w:r>
        <w:rPr>
          <w:rtl/>
        </w:rPr>
        <w:t>ההודעה האמורה לעיל, מהווה דבר פרסומת וכוללת מסרים המופצים באופן מסחרי, שמטרתה לעודד את התובע לרכישת שירותים ו/או מוצרים אותם מציע הנתבע.</w:t>
      </w:r>
    </w:p>
    <w:p w14:paraId="6ABCADA6" w14:textId="77777777" w:rsidR="00360809" w:rsidRDefault="00C57170">
      <w:pPr>
        <w:numPr>
          <w:ilvl w:val="0"/>
          <w:numId w:val="2"/>
        </w:numPr>
        <w:pBdr>
          <w:top w:val="nil"/>
          <w:left w:val="nil"/>
          <w:bottom w:val="nil"/>
          <w:right w:val="nil"/>
          <w:between w:val="nil"/>
        </w:pBdr>
        <w:spacing w:after="240"/>
        <w:ind w:hanging="360"/>
        <w:jc w:val="both"/>
      </w:pPr>
      <w:r>
        <w:rPr>
          <w:rtl/>
        </w:rPr>
        <w:t xml:space="preserve">דבר הפרסומת הנ"ל, שוגר לתובע על-ידי הנתבע, למרות </w:t>
      </w:r>
      <w:proofErr w:type="spellStart"/>
      <w:r>
        <w:rPr>
          <w:rtl/>
        </w:rPr>
        <w:t>שהח"מ</w:t>
      </w:r>
      <w:proofErr w:type="spellEnd"/>
      <w:r>
        <w:rPr>
          <w:rtl/>
        </w:rPr>
        <w:t xml:space="preserve"> מעולם לא נתן את הסכמתו המפורשת מראש לקבלת דבר הפרסומת.</w:t>
      </w:r>
    </w:p>
    <w:p w14:paraId="635E9B89" w14:textId="77777777" w:rsidR="00360809" w:rsidRDefault="00C57170">
      <w:pPr>
        <w:numPr>
          <w:ilvl w:val="0"/>
          <w:numId w:val="2"/>
        </w:numPr>
        <w:pBdr>
          <w:top w:val="nil"/>
          <w:left w:val="nil"/>
          <w:bottom w:val="nil"/>
          <w:right w:val="nil"/>
          <w:between w:val="nil"/>
        </w:pBdr>
        <w:spacing w:after="240"/>
        <w:ind w:hanging="360"/>
      </w:pPr>
      <w:r>
        <w:rPr>
          <w:rtl/>
        </w:rPr>
        <w:t>דבר הפרסומת הנ״ל שוגר לתובע ע״י הנתבע תוך התעלמות מחוק התקשורת וזאת לאחר שלא ניתן לכך אישור מראש ע"י התובע (סעיף ב), כאמור לפי הודאת הנתבע, מספר הטלפון נלקח ממקור חיצוני, ואף לא ניתנה אפשרות להסרה בהודעה חוזרת (סעיף ה), כאמור:</w:t>
      </w:r>
      <w:r>
        <w:rPr>
          <w:rtl/>
        </w:rPr>
        <w:br/>
      </w:r>
      <w:r>
        <w:rPr>
          <w:rFonts w:ascii="FrankRuehl" w:eastAsia="FrankRuehl" w:hAnsi="FrankRuehl" w:cs="FrankRuehl"/>
          <w:b/>
          <w:sz w:val="18"/>
          <w:szCs w:val="18"/>
          <w:rtl/>
        </w:rPr>
        <w:t xml:space="preserve">(ב)  לא ישגר מפרסם דבר פרסומת באמצעות פקסימיליה, מערכת חיוג אוטומטי, הודעה אלקטרונית או הודעת מסר קצר, </w:t>
      </w:r>
      <w:r>
        <w:rPr>
          <w:rFonts w:ascii="FrankRuehl" w:eastAsia="FrankRuehl" w:hAnsi="FrankRuehl" w:cs="FrankRuehl"/>
          <w:b/>
          <w:sz w:val="18"/>
          <w:szCs w:val="18"/>
          <w:highlight w:val="yellow"/>
          <w:rtl/>
        </w:rPr>
        <w:t>בלא קבלת הסכמה מפורשת מראש של הנמען, בכתב,</w:t>
      </w:r>
      <w:r>
        <w:rPr>
          <w:rFonts w:ascii="FrankRuehl" w:eastAsia="FrankRuehl" w:hAnsi="FrankRuehl" w:cs="FrankRuehl"/>
          <w:b/>
          <w:sz w:val="18"/>
          <w:szCs w:val="18"/>
          <w:rtl/>
        </w:rPr>
        <w:t xml:space="preserve"> לרבות בהודעה אלקטרונית או בשיחה מוקלטת;</w:t>
      </w:r>
      <w:r>
        <w:rPr>
          <w:rFonts w:ascii="FrankRuehl" w:eastAsia="FrankRuehl" w:hAnsi="FrankRuehl" w:cs="FrankRuehl"/>
          <w:b/>
          <w:sz w:val="18"/>
          <w:szCs w:val="18"/>
          <w:rtl/>
        </w:rPr>
        <w:br/>
        <w:t>(ה)  (1)   מפרסם המשגר דבר פרסומת בהתאם להוראות סעיף זה יציין בו את הפרטים האלה באופן בולט וברור, שאין בו כדי להטעות:</w:t>
      </w:r>
    </w:p>
    <w:p w14:paraId="3F81B5A1"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(א)   היותו דבר פרסומת; המילה "פרסומת" תופיע בתחילת דבר הפרסומת, ואם דבר הפרסומת משוגר באמצעות הודעה אלקטרונית – בכותרת ההודעה;</w:t>
      </w:r>
    </w:p>
    <w:p w14:paraId="6E21B9AD"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(ב)   שמו של המפרסם, כתובתו ודרכי יצירת הקשר עמו;</w:t>
      </w:r>
    </w:p>
    <w:p w14:paraId="1EDD1A09"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 xml:space="preserve">(ג)    </w:t>
      </w:r>
      <w:r>
        <w:rPr>
          <w:rFonts w:ascii="FrankRuehl" w:eastAsia="FrankRuehl" w:hAnsi="FrankRuehl" w:cs="FrankRuehl"/>
          <w:b/>
          <w:sz w:val="18"/>
          <w:szCs w:val="18"/>
          <w:highlight w:val="yellow"/>
          <w:rtl/>
        </w:rPr>
        <w:t>זכותו של הנמען לשלוח, בכל עת, הודעת סירוב כאמור בסעיף קטן (ד), ודרך אפשרית למשלוח הודעה כאמור שהיא פשוטה וסבירה בנסיבות העניין, ואם דבר הפרסומת משוגר באמצעות הודעה אלקטרונית – כתובת תקפה של המפרסם ברשת האינטרנט לצורך מתן הודעת סירוב</w:t>
      </w:r>
      <w:r>
        <w:rPr>
          <w:rFonts w:ascii="FrankRuehl" w:eastAsia="FrankRuehl" w:hAnsi="FrankRuehl" w:cs="FrankRuehl"/>
          <w:b/>
          <w:sz w:val="18"/>
          <w:szCs w:val="18"/>
        </w:rPr>
        <w:t>.</w:t>
      </w:r>
    </w:p>
    <w:p w14:paraId="233C8C3C" w14:textId="77777777" w:rsidR="00360809" w:rsidRDefault="00360809">
      <w:pPr>
        <w:pBdr>
          <w:top w:val="nil"/>
          <w:left w:val="nil"/>
          <w:bottom w:val="nil"/>
          <w:right w:val="nil"/>
          <w:between w:val="nil"/>
        </w:pBdr>
        <w:spacing w:after="240"/>
        <w:ind w:left="720"/>
        <w:jc w:val="both"/>
      </w:pPr>
    </w:p>
    <w:p w14:paraId="64DC9FC7" w14:textId="77777777" w:rsidR="00360809" w:rsidRDefault="00C57170">
      <w:pPr>
        <w:numPr>
          <w:ilvl w:val="0"/>
          <w:numId w:val="2"/>
        </w:numPr>
        <w:pBdr>
          <w:top w:val="nil"/>
          <w:left w:val="nil"/>
          <w:bottom w:val="nil"/>
          <w:right w:val="nil"/>
          <w:between w:val="nil"/>
        </w:pBdr>
        <w:spacing w:after="240"/>
        <w:ind w:hanging="360"/>
        <w:jc w:val="both"/>
      </w:pPr>
      <w:r>
        <w:rPr>
          <w:rtl/>
        </w:rPr>
        <w:t xml:space="preserve">בהתאם להוראות סעיף 30(י)(1) לחוק התקשורת, רשאי בית המשפט הנכבד לפסוק לתובע פיצויים שאינם תלויים בנזק, בסכום שלא יעלה על 1,000 ₪ בשל כל דבר פרסומת שקיבל הח"מ מהנתבעת בניגוד להוראות חוק התקשורת. כידוע, סכום המוצא לפסיקת פיצוי לדוגמה הינו 1,000 ₪ ורק בהינתן נסיבות מתאימות, ניתן לשקול הפחתתו (רע"א 2904/14 </w:t>
      </w:r>
      <w:proofErr w:type="spellStart"/>
      <w:r>
        <w:rPr>
          <w:rtl/>
        </w:rPr>
        <w:t>גלסברג</w:t>
      </w:r>
      <w:proofErr w:type="spellEnd"/>
      <w:r>
        <w:rPr>
          <w:rtl/>
        </w:rPr>
        <w:t xml:space="preserve"> נ' קלאב רמון (27.7.2014)).</w:t>
      </w:r>
    </w:p>
    <w:p w14:paraId="7EEA8828" w14:textId="51A0AD10" w:rsidR="00360809" w:rsidRDefault="00C57170">
      <w:pPr>
        <w:numPr>
          <w:ilvl w:val="0"/>
          <w:numId w:val="2"/>
        </w:numPr>
        <w:pBdr>
          <w:top w:val="nil"/>
          <w:left w:val="nil"/>
          <w:bottom w:val="nil"/>
          <w:right w:val="nil"/>
          <w:between w:val="nil"/>
        </w:pBdr>
        <w:spacing w:after="240"/>
        <w:ind w:hanging="360"/>
        <w:jc w:val="both"/>
      </w:pPr>
      <w:r>
        <w:rPr>
          <w:rtl/>
        </w:rPr>
        <w:t xml:space="preserve">כמו כן יפים לענייננו דברים של כב' השופט ע' </w:t>
      </w:r>
      <w:proofErr w:type="spellStart"/>
      <w:r>
        <w:rPr>
          <w:rtl/>
        </w:rPr>
        <w:t>פוגלמן</w:t>
      </w:r>
      <w:proofErr w:type="spellEnd"/>
      <w:r>
        <w:rPr>
          <w:rtl/>
        </w:rPr>
        <w:t xml:space="preserve"> </w:t>
      </w:r>
      <w:proofErr w:type="spellStart"/>
      <w:r>
        <w:rPr>
          <w:rtl/>
        </w:rPr>
        <w:t>ברע"א</w:t>
      </w:r>
      <w:proofErr w:type="spellEnd"/>
      <w:r>
        <w:rPr>
          <w:rtl/>
        </w:rPr>
        <w:t xml:space="preserve"> 1954/14, לעניין גובה הפיצוי במקרים כגון מקרה זה, בו נשלחה לתובע הודעה פרסומית בודדת: "</w:t>
      </w:r>
      <w:r>
        <w:rPr>
          <w:b/>
          <w:rtl/>
        </w:rPr>
        <w:t>נקודת המוצא היא שתביעה בגין הפרה בודדת תזכה את התובע במלוא הסכום (1,000 ש"ח) כדי שתושג התכלית ההרתעתית</w:t>
      </w:r>
      <w:r>
        <w:rPr>
          <w:rtl/>
        </w:rPr>
        <w:t xml:space="preserve">.". </w:t>
      </w:r>
    </w:p>
    <w:p w14:paraId="067651D5" w14:textId="77777777" w:rsidR="00360809" w:rsidRDefault="00C57170">
      <w:pPr>
        <w:numPr>
          <w:ilvl w:val="0"/>
          <w:numId w:val="2"/>
        </w:numPr>
        <w:pBdr>
          <w:top w:val="nil"/>
          <w:left w:val="nil"/>
          <w:bottom w:val="nil"/>
          <w:right w:val="nil"/>
          <w:between w:val="nil"/>
        </w:pBdr>
        <w:spacing w:after="240"/>
        <w:ind w:hanging="360"/>
        <w:jc w:val="both"/>
      </w:pPr>
      <w:r>
        <w:rPr>
          <w:rtl/>
        </w:rPr>
        <w:t>כמו כן: "</w:t>
      </w:r>
      <w:r>
        <w:rPr>
          <w:b/>
          <w:rtl/>
        </w:rPr>
        <w:t>הרי שתכליותיה המיוחדות של תביעה לפי חוק הספאם מוליכות למסקנה כי יש לפסוק שכר טרחה והוצאות בסכום שבמכלול יהפוך את הגשתה לכדאית. לשון אחר: סכום שכר הטרחה וההוצאות שייפסק בתביעה כזו קשור בקשר הדוק בסכום שייפסק כפיצוי בגין ההפרות, ויש לראות בהם מכלול אחד (ובלבד שלא ייפסק לתובע סכום גבוה מזה שסביר ומידתי להוציא לשם ניהול ההליך). כך, למשל, אף שתביעה בגין הפרה בודדת תזכה את התובע לכל היותר בפיצוי של 1,000 ש"ח, ניתן לפסוק בגינה שכר טרחה והוצאות העולים על סכום זה כדי שיהיה כדאי להגישה, ובלבד שהסכום הכולל שנפסק יהיה סביר ומידתי בשים לב לשיקולים המנחים את בית המשפט בפסיקת שכר טרחה והוצאות משפט</w:t>
      </w:r>
      <w:r>
        <w:rPr>
          <w:rtl/>
        </w:rPr>
        <w:t>." (שם, ההדגשה במקור.)</w:t>
      </w:r>
    </w:p>
    <w:p w14:paraId="042E100E" w14:textId="4927BC3A" w:rsidR="00360809" w:rsidRDefault="00C57170">
      <w:pPr>
        <w:numPr>
          <w:ilvl w:val="0"/>
          <w:numId w:val="2"/>
        </w:numPr>
        <w:pBdr>
          <w:top w:val="nil"/>
          <w:left w:val="nil"/>
          <w:bottom w:val="nil"/>
          <w:right w:val="nil"/>
          <w:between w:val="nil"/>
        </w:pBdr>
        <w:spacing w:after="240"/>
        <w:ind w:hanging="360"/>
        <w:jc w:val="both"/>
      </w:pPr>
      <w:r>
        <w:rPr>
          <w:rtl/>
        </w:rPr>
        <w:t>זאת ועוד, עולה כי אי</w:t>
      </w:r>
      <w:r w:rsidR="005A3FA6">
        <w:rPr>
          <w:rFonts w:hint="cs"/>
          <w:rtl/>
        </w:rPr>
        <w:t xml:space="preserve">ן החברה </w:t>
      </w:r>
      <w:r>
        <w:rPr>
          <w:rtl/>
        </w:rPr>
        <w:t xml:space="preserve">רואה שום פסול ביצירת מאגר מידע בניגוד לחוק </w:t>
      </w:r>
      <w:r>
        <w:rPr>
          <w:u w:val="single"/>
          <w:rtl/>
        </w:rPr>
        <w:t>הגנת הפרטיות תשמ"א 1981 (להלן: "</w:t>
      </w:r>
      <w:r>
        <w:rPr>
          <w:b/>
          <w:u w:val="single"/>
          <w:rtl/>
        </w:rPr>
        <w:t>חוק הגנת הפרטיות</w:t>
      </w:r>
      <w:r>
        <w:rPr>
          <w:u w:val="single"/>
        </w:rPr>
        <w:t>"</w:t>
      </w:r>
      <w:r w:rsidR="00AA23BD">
        <w:rPr>
          <w:u w:val="single"/>
        </w:rPr>
        <w:t>(</w:t>
      </w:r>
      <w:r>
        <w:t>.</w:t>
      </w:r>
    </w:p>
    <w:p w14:paraId="762A9AFC" w14:textId="31E40181" w:rsidR="00360809" w:rsidRDefault="00C57170">
      <w:pPr>
        <w:numPr>
          <w:ilvl w:val="0"/>
          <w:numId w:val="2"/>
        </w:numPr>
        <w:pBdr>
          <w:top w:val="nil"/>
          <w:left w:val="nil"/>
          <w:bottom w:val="nil"/>
          <w:right w:val="nil"/>
          <w:between w:val="nil"/>
        </w:pBdr>
        <w:spacing w:after="240"/>
        <w:ind w:hanging="360"/>
        <w:jc w:val="both"/>
      </w:pPr>
      <w:r>
        <w:rPr>
          <w:rtl/>
        </w:rPr>
        <w:t>לעניין זה, קובע סעיף 17ד ל</w:t>
      </w:r>
      <w:r>
        <w:rPr>
          <w:i/>
          <w:u w:val="single"/>
          <w:rtl/>
        </w:rPr>
        <w:t xml:space="preserve">חוק הגנת הפרטיות : </w:t>
      </w:r>
      <w:r>
        <w:t>"</w:t>
      </w:r>
      <w:r>
        <w:rPr>
          <w:i/>
          <w:rtl/>
        </w:rPr>
        <w:t>לא ינהל אדם ולא יחזיק מאגר מידע המשמש לשירותי דיוור ישיר, אלא אם כן הוא רשום בפנקס ואחת ממטרותיו הרשומות היא שירותי דיוור</w:t>
      </w:r>
      <w:r>
        <w:t>".</w:t>
      </w:r>
    </w:p>
    <w:p w14:paraId="5B88B4B3" w14:textId="77777777" w:rsidR="00360809" w:rsidRDefault="00C57170">
      <w:pPr>
        <w:numPr>
          <w:ilvl w:val="0"/>
          <w:numId w:val="2"/>
        </w:numPr>
        <w:pBdr>
          <w:top w:val="nil"/>
          <w:left w:val="nil"/>
          <w:bottom w:val="nil"/>
          <w:right w:val="nil"/>
          <w:between w:val="nil"/>
        </w:pBdr>
        <w:spacing w:after="240"/>
        <w:ind w:hanging="360"/>
        <w:jc w:val="both"/>
      </w:pPr>
      <w:r>
        <w:rPr>
          <w:rtl/>
        </w:rPr>
        <w:t>עוד קובע סעיף 8 לחוק הגנת הפרטיות :</w:t>
      </w:r>
    </w:p>
    <w:p w14:paraId="26891A4F" w14:textId="0E45F6D8" w:rsidR="00360809" w:rsidRDefault="00C57170">
      <w:pPr>
        <w:pBdr>
          <w:top w:val="nil"/>
          <w:left w:val="nil"/>
          <w:bottom w:val="nil"/>
          <w:right w:val="nil"/>
          <w:between w:val="nil"/>
        </w:pBdr>
        <w:spacing w:after="240"/>
        <w:ind w:left="1077" w:right="993"/>
        <w:jc w:val="both"/>
        <w:rPr>
          <w:b/>
        </w:rPr>
      </w:pPr>
      <w:r>
        <w:rPr>
          <w:rtl/>
        </w:rPr>
        <w:t xml:space="preserve">8.  </w:t>
      </w:r>
      <w:r w:rsidR="003B0E3F">
        <w:rPr>
          <w:rFonts w:hint="cs"/>
          <w:rtl/>
        </w:rPr>
        <w:t xml:space="preserve">     </w:t>
      </w:r>
      <w:r>
        <w:rPr>
          <w:rtl/>
        </w:rPr>
        <w:t xml:space="preserve">  (א)  לא ינהל אדם ולא יחזיק מאגר מידע החייב ברישום לפי סעיף זה, אלא אם כן התקיים אחד מאלה:</w:t>
      </w:r>
    </w:p>
    <w:p w14:paraId="74C31606" w14:textId="77777777" w:rsidR="00360809" w:rsidRDefault="00C57170">
      <w:pPr>
        <w:pBdr>
          <w:top w:val="nil"/>
          <w:left w:val="nil"/>
          <w:bottom w:val="nil"/>
          <w:right w:val="nil"/>
          <w:between w:val="nil"/>
        </w:pBdr>
        <w:spacing w:after="240"/>
        <w:ind w:left="1077" w:right="992"/>
        <w:jc w:val="both"/>
        <w:rPr>
          <w:b/>
        </w:rPr>
      </w:pPr>
      <w:r>
        <w:rPr>
          <w:b/>
          <w:rtl/>
        </w:rPr>
        <w:t>(1)   המאגר נרשם בפנקס;</w:t>
      </w:r>
    </w:p>
    <w:p w14:paraId="7B30CF66" w14:textId="77777777" w:rsidR="00360809" w:rsidRDefault="00C57170">
      <w:pPr>
        <w:pBdr>
          <w:top w:val="nil"/>
          <w:left w:val="nil"/>
          <w:bottom w:val="nil"/>
          <w:right w:val="nil"/>
          <w:between w:val="nil"/>
        </w:pBdr>
        <w:spacing w:after="240"/>
        <w:ind w:left="1077" w:right="992"/>
        <w:jc w:val="both"/>
        <w:rPr>
          <w:b/>
        </w:rPr>
      </w:pPr>
      <w:r>
        <w:rPr>
          <w:b/>
          <w:rtl/>
        </w:rPr>
        <w:t>(2)   הוגשה בקשה לרישום המאגר והתקיימו הוראות סעיף 10(ב1);</w:t>
      </w:r>
    </w:p>
    <w:p w14:paraId="1A917990" w14:textId="77777777" w:rsidR="00360809" w:rsidRDefault="00C57170">
      <w:pPr>
        <w:pBdr>
          <w:top w:val="nil"/>
          <w:left w:val="nil"/>
          <w:bottom w:val="nil"/>
          <w:right w:val="nil"/>
          <w:between w:val="nil"/>
        </w:pBdr>
        <w:spacing w:after="240"/>
        <w:ind w:left="1077" w:right="992"/>
        <w:jc w:val="both"/>
        <w:rPr>
          <w:b/>
        </w:rPr>
      </w:pPr>
      <w:r>
        <w:rPr>
          <w:b/>
          <w:rtl/>
        </w:rPr>
        <w:t>(3)   המאגר חייב ברישום לפי סעיף קטן (ה) והוראת הרשם כללה הרשאה לניהול והחזקה של המאגר עד רישומו.</w:t>
      </w:r>
    </w:p>
    <w:p w14:paraId="59F14661" w14:textId="77777777" w:rsidR="00360809" w:rsidRDefault="00C57170">
      <w:pPr>
        <w:pBdr>
          <w:top w:val="nil"/>
          <w:left w:val="nil"/>
          <w:bottom w:val="nil"/>
          <w:right w:val="nil"/>
          <w:between w:val="nil"/>
        </w:pBdr>
        <w:spacing w:after="240"/>
        <w:ind w:left="1077" w:right="992"/>
        <w:jc w:val="both"/>
        <w:rPr>
          <w:b/>
        </w:rPr>
      </w:pPr>
      <w:r>
        <w:rPr>
          <w:b/>
          <w:rtl/>
        </w:rPr>
        <w:t xml:space="preserve">           (ב)  לא ישתמש אדם במידע שבמאגר מידע החייב ברישום לפי סעיף זה, אלא למטרה שלשמה הוקם המאגר.</w:t>
      </w:r>
    </w:p>
    <w:p w14:paraId="1825D281" w14:textId="77777777" w:rsidR="00360809" w:rsidRDefault="00C57170">
      <w:pPr>
        <w:pBdr>
          <w:top w:val="nil"/>
          <w:left w:val="nil"/>
          <w:bottom w:val="nil"/>
          <w:right w:val="nil"/>
          <w:between w:val="nil"/>
        </w:pBdr>
        <w:spacing w:after="240"/>
        <w:ind w:left="1077" w:right="992"/>
        <w:jc w:val="both"/>
        <w:rPr>
          <w:b/>
        </w:rPr>
      </w:pPr>
      <w:r>
        <w:rPr>
          <w:b/>
          <w:rtl/>
        </w:rPr>
        <w:t xml:space="preserve">           (ג)   בעל מאגר מידע חייב ברישום בפנקס ועל בעל המאגר לרשמו אם נתקיים בו אחד מאלה:</w:t>
      </w:r>
    </w:p>
    <w:p w14:paraId="7E095B7A" w14:textId="77777777" w:rsidR="00360809" w:rsidRDefault="00C57170">
      <w:pPr>
        <w:pBdr>
          <w:top w:val="nil"/>
          <w:left w:val="nil"/>
          <w:bottom w:val="nil"/>
          <w:right w:val="nil"/>
          <w:between w:val="nil"/>
        </w:pBdr>
        <w:spacing w:after="240"/>
        <w:ind w:left="1077" w:right="992"/>
        <w:jc w:val="both"/>
        <w:rPr>
          <w:b/>
        </w:rPr>
      </w:pPr>
      <w:r>
        <w:rPr>
          <w:b/>
          <w:rtl/>
        </w:rPr>
        <w:t>(1)   מספר האנשים שמידע עליהם נמצא במאגר עולה על 10,000;</w:t>
      </w:r>
    </w:p>
    <w:p w14:paraId="48075580" w14:textId="77777777" w:rsidR="00360809" w:rsidRDefault="00C57170">
      <w:pPr>
        <w:pBdr>
          <w:top w:val="nil"/>
          <w:left w:val="nil"/>
          <w:bottom w:val="nil"/>
          <w:right w:val="nil"/>
          <w:between w:val="nil"/>
        </w:pBdr>
        <w:spacing w:after="240"/>
        <w:ind w:left="1077" w:right="992"/>
        <w:jc w:val="both"/>
        <w:rPr>
          <w:b/>
        </w:rPr>
      </w:pPr>
      <w:r>
        <w:rPr>
          <w:b/>
          <w:rtl/>
        </w:rPr>
        <w:t>(2)   יש במאגר מידע רגיש;</w:t>
      </w:r>
    </w:p>
    <w:p w14:paraId="5C67E4D8" w14:textId="77777777" w:rsidR="00360809" w:rsidRDefault="00C57170">
      <w:pPr>
        <w:pBdr>
          <w:top w:val="nil"/>
          <w:left w:val="nil"/>
          <w:bottom w:val="nil"/>
          <w:right w:val="nil"/>
          <w:between w:val="nil"/>
        </w:pBdr>
        <w:spacing w:after="240"/>
        <w:ind w:left="1077" w:right="992"/>
        <w:jc w:val="both"/>
        <w:rPr>
          <w:b/>
        </w:rPr>
      </w:pPr>
      <w:r>
        <w:rPr>
          <w:b/>
          <w:rtl/>
        </w:rPr>
        <w:t>(3)   המאגר כולל מידע על אנשים והמידע לא נמסר על ידיהם, מטעמם או בהסכמתם למאגר זה;</w:t>
      </w:r>
    </w:p>
    <w:p w14:paraId="18C3080A" w14:textId="77777777" w:rsidR="00360809" w:rsidRDefault="00C57170">
      <w:pPr>
        <w:pBdr>
          <w:top w:val="nil"/>
          <w:left w:val="nil"/>
          <w:bottom w:val="nil"/>
          <w:right w:val="nil"/>
          <w:between w:val="nil"/>
        </w:pBdr>
        <w:spacing w:after="240"/>
        <w:ind w:left="1077" w:right="992"/>
        <w:jc w:val="both"/>
        <w:rPr>
          <w:b/>
        </w:rPr>
      </w:pPr>
      <w:r>
        <w:rPr>
          <w:b/>
          <w:rtl/>
        </w:rPr>
        <w:t>(4)   המאגר הוא של גוף ציבורי כהגדרתו בסעיף 23;</w:t>
      </w:r>
    </w:p>
    <w:p w14:paraId="7352F621" w14:textId="2E3B3E4F" w:rsidR="00360809" w:rsidRPr="0065287A" w:rsidRDefault="00C57170" w:rsidP="0065287A">
      <w:pPr>
        <w:pBdr>
          <w:top w:val="nil"/>
          <w:left w:val="nil"/>
          <w:bottom w:val="nil"/>
          <w:right w:val="nil"/>
          <w:between w:val="nil"/>
        </w:pBdr>
        <w:spacing w:after="240"/>
        <w:ind w:left="1077" w:right="992"/>
        <w:jc w:val="both"/>
        <w:rPr>
          <w:b/>
        </w:rPr>
      </w:pPr>
      <w:r>
        <w:rPr>
          <w:b/>
          <w:rtl/>
        </w:rPr>
        <w:t>(5)   המאגר משמש לשירותי דיוור ישיר כאמור בסעיף 17ג.</w:t>
      </w:r>
    </w:p>
    <w:p w14:paraId="50B95596" w14:textId="77777777" w:rsidR="00360809" w:rsidRDefault="00C57170">
      <w:pPr>
        <w:numPr>
          <w:ilvl w:val="0"/>
          <w:numId w:val="2"/>
        </w:numPr>
        <w:pBdr>
          <w:top w:val="nil"/>
          <w:left w:val="nil"/>
          <w:bottom w:val="nil"/>
          <w:right w:val="nil"/>
          <w:between w:val="nil"/>
        </w:pBdr>
        <w:spacing w:after="240"/>
        <w:ind w:hanging="360"/>
        <w:jc w:val="both"/>
      </w:pPr>
      <w:r>
        <w:rPr>
          <w:rtl/>
        </w:rPr>
        <w:t>אין ספק כי המאגר אינו מאגר רשום, בניגוד להוראת סעיף 8(ג)(5) לחוק הגנת הפרטיות, כמפורט לעיל, אף שהוא משמש את הנתבע, בפועל, לשירותי דיוור ישיר.</w:t>
      </w:r>
    </w:p>
    <w:p w14:paraId="7115303C" w14:textId="77777777" w:rsidR="00360809" w:rsidRDefault="00C57170">
      <w:pPr>
        <w:numPr>
          <w:ilvl w:val="0"/>
          <w:numId w:val="2"/>
        </w:numPr>
        <w:pBdr>
          <w:top w:val="nil"/>
          <w:left w:val="nil"/>
          <w:bottom w:val="nil"/>
          <w:right w:val="nil"/>
          <w:between w:val="nil"/>
        </w:pBdr>
        <w:spacing w:after="240"/>
        <w:ind w:hanging="360"/>
        <w:jc w:val="both"/>
      </w:pPr>
      <w:r>
        <w:rPr>
          <w:rtl/>
        </w:rPr>
        <w:t>עוד יודגש כי הנתבע לא רואה כל פסול בכך שהוא עובר בצורה בוטה על הוראות חוק הגנת הפרטיות, המובאות לעיל. כמו כן, אין הנתבע רשאי לשלוח הודעות פרסומיות לתובע מאחר וזה לא נתן הסכמתו המפורשת והנתבע עובר על הוראות החוק להגנת הפרטיות ע״י איסוף וליקוט פרטי הרשומים בו בניגוד לחוק (</w:t>
      </w:r>
      <w:r>
        <w:rPr>
          <w:b/>
          <w:rtl/>
        </w:rPr>
        <w:t>תלונה על כך תוגש בנפרד לרשות להגנת הפרטיות</w:t>
      </w:r>
      <w:r w:rsidR="005A3FA6">
        <w:rPr>
          <w:rFonts w:hint="cs"/>
          <w:rtl/>
        </w:rPr>
        <w:t>).</w:t>
      </w:r>
    </w:p>
    <w:p w14:paraId="54E85858" w14:textId="77777777" w:rsidR="00360809" w:rsidRDefault="00C57170">
      <w:pPr>
        <w:numPr>
          <w:ilvl w:val="0"/>
          <w:numId w:val="2"/>
        </w:numPr>
        <w:pBdr>
          <w:top w:val="nil"/>
          <w:left w:val="nil"/>
          <w:bottom w:val="nil"/>
          <w:right w:val="nil"/>
          <w:between w:val="nil"/>
        </w:pBdr>
        <w:spacing w:after="240"/>
        <w:ind w:hanging="360"/>
        <w:jc w:val="both"/>
      </w:pPr>
      <w:r>
        <w:rPr>
          <w:rtl/>
        </w:rPr>
        <w:t>שיגור דבר הפרסומת כאמור מהווה הפרה של הוראות החוק. משלוח מסרים מסחריים כאמור מערער את האמון, הביטחון והנוחות בשימוש בטכנולוגיה, לציבור בכלל ולתובע בפרט. בכלל זה, נדרש התובע להשחית משאבים וזמן על-מנת להתמודד עם דבר הפרסומת ששיגר אליו הנתבע.</w:t>
      </w:r>
    </w:p>
    <w:p w14:paraId="70920D32" w14:textId="77777777" w:rsidR="00360809" w:rsidRDefault="00360809">
      <w:pPr>
        <w:pBdr>
          <w:top w:val="nil"/>
          <w:left w:val="nil"/>
          <w:bottom w:val="nil"/>
          <w:right w:val="nil"/>
          <w:between w:val="nil"/>
        </w:pBdr>
        <w:spacing w:after="240"/>
        <w:jc w:val="both"/>
      </w:pPr>
    </w:p>
    <w:p w14:paraId="2E112037" w14:textId="77777777" w:rsidR="00360809" w:rsidRDefault="00360809">
      <w:pPr>
        <w:pBdr>
          <w:top w:val="nil"/>
          <w:left w:val="nil"/>
          <w:bottom w:val="nil"/>
          <w:right w:val="nil"/>
          <w:between w:val="nil"/>
        </w:pBdr>
        <w:spacing w:after="240"/>
        <w:jc w:val="both"/>
      </w:pPr>
    </w:p>
    <w:p w14:paraId="620DAAEE" w14:textId="77777777" w:rsidR="00360809" w:rsidRDefault="00360809">
      <w:pPr>
        <w:pBdr>
          <w:top w:val="nil"/>
          <w:left w:val="nil"/>
          <w:bottom w:val="nil"/>
          <w:right w:val="nil"/>
          <w:between w:val="nil"/>
        </w:pBdr>
        <w:spacing w:after="240"/>
        <w:jc w:val="both"/>
      </w:pPr>
    </w:p>
    <w:p w14:paraId="41635B35" w14:textId="77777777" w:rsidR="00360809" w:rsidRDefault="00360809">
      <w:pPr>
        <w:pBdr>
          <w:top w:val="nil"/>
          <w:left w:val="nil"/>
          <w:bottom w:val="nil"/>
          <w:right w:val="nil"/>
          <w:between w:val="nil"/>
        </w:pBdr>
        <w:spacing w:after="240"/>
        <w:jc w:val="both"/>
      </w:pPr>
    </w:p>
    <w:p w14:paraId="1BAEC591" w14:textId="77777777" w:rsidR="00360809" w:rsidRDefault="00360809">
      <w:pPr>
        <w:pBdr>
          <w:top w:val="nil"/>
          <w:left w:val="nil"/>
          <w:bottom w:val="nil"/>
          <w:right w:val="nil"/>
          <w:between w:val="nil"/>
        </w:pBdr>
        <w:spacing w:after="240"/>
        <w:jc w:val="both"/>
      </w:pPr>
    </w:p>
    <w:p w14:paraId="1ADDFFD4" w14:textId="77777777" w:rsidR="00360809" w:rsidRDefault="00360809">
      <w:pPr>
        <w:pBdr>
          <w:top w:val="nil"/>
          <w:left w:val="nil"/>
          <w:bottom w:val="nil"/>
          <w:right w:val="nil"/>
          <w:between w:val="nil"/>
        </w:pBdr>
        <w:spacing w:after="240"/>
        <w:jc w:val="both"/>
      </w:pPr>
    </w:p>
    <w:p w14:paraId="51AC2BAD" w14:textId="77777777" w:rsidR="00360809" w:rsidRDefault="00C57170">
      <w:pPr>
        <w:pBdr>
          <w:top w:val="nil"/>
          <w:left w:val="nil"/>
          <w:bottom w:val="nil"/>
          <w:right w:val="nil"/>
          <w:between w:val="nil"/>
        </w:pBdr>
        <w:spacing w:after="240"/>
        <w:jc w:val="both"/>
      </w:pPr>
      <w:r>
        <w:rPr>
          <w:b/>
          <w:u w:val="single"/>
          <w:rtl/>
        </w:rPr>
        <w:t>סיכום</w:t>
      </w:r>
    </w:p>
    <w:p w14:paraId="55146683" w14:textId="74FBEDB1" w:rsidR="00360809" w:rsidRDefault="00C57170">
      <w:pPr>
        <w:numPr>
          <w:ilvl w:val="0"/>
          <w:numId w:val="2"/>
        </w:numPr>
        <w:pBdr>
          <w:top w:val="nil"/>
          <w:left w:val="nil"/>
          <w:bottom w:val="nil"/>
          <w:right w:val="nil"/>
          <w:between w:val="nil"/>
        </w:pBdr>
        <w:spacing w:after="240"/>
        <w:ind w:hanging="360"/>
        <w:jc w:val="both"/>
      </w:pPr>
      <w:r>
        <w:rPr>
          <w:rtl/>
        </w:rPr>
        <w:t xml:space="preserve">אשר על כן, מתבקש בית המשפט הנכבד לחייב את הנתבע לשלם לתובע, סך של </w:t>
      </w:r>
      <w:r w:rsidR="00DD6A05">
        <w:rPr>
          <w:rFonts w:hint="cs"/>
          <w:rtl/>
          <w:lang w:val="en-US"/>
        </w:rPr>
        <w:t>1</w:t>
      </w:r>
      <w:r>
        <w:rPr>
          <w:rtl/>
        </w:rPr>
        <w:t>,000 ₪</w:t>
      </w:r>
      <w:r w:rsidR="00162BD8">
        <w:t xml:space="preserve"> </w:t>
      </w:r>
      <w:r>
        <w:rPr>
          <w:rtl/>
        </w:rPr>
        <w:t xml:space="preserve"> בגין הפרת הוראות חוק התקשורת.</w:t>
      </w:r>
    </w:p>
    <w:p w14:paraId="0AAD8131" w14:textId="77777777" w:rsidR="00360809" w:rsidRDefault="00C57170" w:rsidP="00CE20EC">
      <w:pPr>
        <w:numPr>
          <w:ilvl w:val="0"/>
          <w:numId w:val="2"/>
        </w:numPr>
        <w:pBdr>
          <w:top w:val="nil"/>
          <w:left w:val="nil"/>
          <w:bottom w:val="nil"/>
          <w:right w:val="nil"/>
          <w:between w:val="nil"/>
        </w:pBdr>
        <w:spacing w:after="240"/>
        <w:ind w:hanging="360"/>
        <w:jc w:val="both"/>
      </w:pPr>
      <w:r>
        <w:rPr>
          <w:rtl/>
        </w:rPr>
        <w:t>התובע מבקש מבית המשפט הנכבד להורות להשיב לו את אגרת בית המשפט בגין הליך זה, והוצאותיו בניהול ההליך.</w:t>
      </w:r>
    </w:p>
    <w:p w14:paraId="3D41E0DC" w14:textId="77777777" w:rsidR="00360809" w:rsidRDefault="00C57170">
      <w:pPr>
        <w:numPr>
          <w:ilvl w:val="0"/>
          <w:numId w:val="2"/>
        </w:numPr>
        <w:pBdr>
          <w:top w:val="nil"/>
          <w:left w:val="nil"/>
          <w:bottom w:val="nil"/>
          <w:right w:val="nil"/>
          <w:between w:val="nil"/>
        </w:pBdr>
        <w:spacing w:after="240"/>
        <w:ind w:hanging="360"/>
        <w:jc w:val="both"/>
      </w:pPr>
      <w:r>
        <w:rPr>
          <w:rtl/>
        </w:rPr>
        <w:t>התובע מצהיר כי בשנה האחרונה לא הגיש בבית משפט זה יותר מחמש תביעות.</w:t>
      </w:r>
    </w:p>
    <w:p w14:paraId="235C2A45" w14:textId="77777777" w:rsidR="00360809" w:rsidRDefault="00360809">
      <w:pPr>
        <w:pBdr>
          <w:top w:val="nil"/>
          <w:left w:val="nil"/>
          <w:bottom w:val="nil"/>
          <w:right w:val="nil"/>
          <w:between w:val="nil"/>
        </w:pBdr>
        <w:spacing w:after="240"/>
        <w:ind w:left="720"/>
        <w:jc w:val="both"/>
      </w:pPr>
    </w:p>
    <w:p w14:paraId="21CE6472" w14:textId="77777777" w:rsidR="00360809" w:rsidRDefault="00360809">
      <w:pPr>
        <w:pBdr>
          <w:top w:val="nil"/>
          <w:left w:val="nil"/>
          <w:bottom w:val="nil"/>
          <w:right w:val="nil"/>
          <w:between w:val="nil"/>
        </w:pBdr>
        <w:spacing w:after="240"/>
        <w:ind w:left="720"/>
        <w:jc w:val="both"/>
      </w:pPr>
    </w:p>
    <w:p w14:paraId="05F038EB" w14:textId="77777777" w:rsidR="00360809" w:rsidRDefault="00360809">
      <w:pPr>
        <w:pBdr>
          <w:top w:val="nil"/>
          <w:left w:val="nil"/>
          <w:bottom w:val="nil"/>
          <w:right w:val="nil"/>
          <w:between w:val="nil"/>
        </w:pBdr>
        <w:spacing w:after="240"/>
        <w:ind w:left="720"/>
        <w:jc w:val="both"/>
      </w:pPr>
    </w:p>
    <w:p w14:paraId="6BC43821" w14:textId="77777777" w:rsidR="00360809" w:rsidRDefault="00360809">
      <w:pPr>
        <w:pBdr>
          <w:top w:val="nil"/>
          <w:left w:val="nil"/>
          <w:bottom w:val="nil"/>
          <w:right w:val="nil"/>
          <w:between w:val="nil"/>
        </w:pBdr>
        <w:spacing w:after="240"/>
        <w:ind w:left="720"/>
        <w:jc w:val="both"/>
      </w:pPr>
    </w:p>
    <w:p w14:paraId="61AA42FF" w14:textId="77777777" w:rsidR="00360809" w:rsidRDefault="00360809">
      <w:pPr>
        <w:pBdr>
          <w:top w:val="nil"/>
          <w:left w:val="nil"/>
          <w:bottom w:val="nil"/>
          <w:right w:val="nil"/>
          <w:between w:val="nil"/>
        </w:pBdr>
        <w:spacing w:after="240"/>
        <w:ind w:left="720"/>
        <w:jc w:val="both"/>
      </w:pPr>
    </w:p>
    <w:p w14:paraId="5BD917F6" w14:textId="77777777" w:rsidR="00360809" w:rsidRDefault="00360809">
      <w:pPr>
        <w:pBdr>
          <w:top w:val="nil"/>
          <w:left w:val="nil"/>
          <w:bottom w:val="nil"/>
          <w:right w:val="nil"/>
          <w:between w:val="nil"/>
        </w:pBdr>
        <w:spacing w:after="240"/>
        <w:ind w:left="720"/>
        <w:jc w:val="both"/>
      </w:pPr>
    </w:p>
    <w:p w14:paraId="327924B7" w14:textId="77777777" w:rsidR="00360809" w:rsidRDefault="00360809">
      <w:pPr>
        <w:pBdr>
          <w:top w:val="nil"/>
          <w:left w:val="nil"/>
          <w:bottom w:val="nil"/>
          <w:right w:val="nil"/>
          <w:between w:val="nil"/>
        </w:pBdr>
        <w:spacing w:after="240"/>
        <w:ind w:left="720"/>
        <w:jc w:val="both"/>
      </w:pPr>
    </w:p>
    <w:p w14:paraId="6C824CFB" w14:textId="1F8EF376" w:rsidR="00360809" w:rsidRDefault="00360809">
      <w:pPr>
        <w:pBdr>
          <w:top w:val="nil"/>
          <w:left w:val="nil"/>
          <w:bottom w:val="nil"/>
          <w:right w:val="nil"/>
          <w:between w:val="nil"/>
        </w:pBdr>
        <w:spacing w:after="240"/>
        <w:ind w:left="720"/>
        <w:jc w:val="both"/>
      </w:pPr>
    </w:p>
    <w:p w14:paraId="5DD0247B" w14:textId="795265FC" w:rsidR="00360809" w:rsidRPr="00D05F41" w:rsidRDefault="00360809" w:rsidP="004E4311">
      <w:pPr>
        <w:pBdr>
          <w:top w:val="nil"/>
          <w:left w:val="nil"/>
          <w:bottom w:val="nil"/>
          <w:right w:val="nil"/>
          <w:between w:val="nil"/>
        </w:pBdr>
        <w:bidi w:val="0"/>
        <w:spacing w:after="240"/>
        <w:ind w:left="720"/>
        <w:jc w:val="both"/>
        <w:rPr>
          <w:rtl/>
          <w:lang w:val="en-US"/>
        </w:rPr>
      </w:pPr>
    </w:p>
    <w:p w14:paraId="151460B9" w14:textId="77777777" w:rsidR="00360809" w:rsidRDefault="00C57170">
      <w:pPr>
        <w:pBdr>
          <w:top w:val="nil"/>
          <w:left w:val="nil"/>
          <w:bottom w:val="nil"/>
          <w:right w:val="nil"/>
          <w:between w:val="nil"/>
        </w:pBdr>
        <w:ind w:left="6944" w:firstLine="282"/>
        <w:jc w:val="center"/>
      </w:pPr>
      <w:r>
        <w:t>___________________</w:t>
      </w:r>
    </w:p>
    <w:p w14:paraId="49CF4B1C" w14:textId="3C930E11" w:rsidR="00360809" w:rsidRDefault="00162BD8">
      <w:pPr>
        <w:pBdr>
          <w:top w:val="nil"/>
          <w:left w:val="nil"/>
          <w:bottom w:val="nil"/>
          <w:right w:val="nil"/>
          <w:between w:val="nil"/>
        </w:pBdr>
        <w:tabs>
          <w:tab w:val="left" w:pos="8018"/>
        </w:tabs>
        <w:ind w:left="6944" w:firstLine="282"/>
        <w:jc w:val="center"/>
      </w:pPr>
      <w:proofErr w:type="spellStart"/>
      <w:r>
        <w:rPr>
          <w:b/>
        </w:rPr>
        <w:t>amit hacoon</w:t>
      </w:r>
      <w:proofErr w:type="spellEnd"/>
    </w:p>
    <w:p w14:paraId="308149F7" w14:textId="77777777" w:rsidR="00360809" w:rsidRDefault="00C57170">
      <w:pPr>
        <w:pBdr>
          <w:top w:val="nil"/>
          <w:left w:val="nil"/>
          <w:bottom w:val="nil"/>
          <w:right w:val="nil"/>
          <w:between w:val="nil"/>
        </w:pBdr>
        <w:ind w:left="6944" w:firstLine="282"/>
        <w:jc w:val="center"/>
      </w:pPr>
      <w:r>
        <w:rPr>
          <w:b/>
          <w:rtl/>
        </w:rPr>
        <w:t>התובע</w:t>
      </w:r>
    </w:p>
    <w:p w14:paraId="6AFF4592" w14:textId="77777777" w:rsidR="00360809" w:rsidRDefault="00360809">
      <w:pPr>
        <w:pBdr>
          <w:top w:val="nil"/>
          <w:left w:val="nil"/>
          <w:bottom w:val="nil"/>
          <w:right w:val="nil"/>
          <w:between w:val="nil"/>
        </w:pBdr>
        <w:spacing w:after="240"/>
        <w:jc w:val="center"/>
      </w:pPr>
    </w:p>
    <w:p w14:paraId="5E1CDEC2" w14:textId="77777777" w:rsidR="00360809" w:rsidRDefault="00360809">
      <w:pPr>
        <w:pBdr>
          <w:top w:val="nil"/>
          <w:left w:val="nil"/>
          <w:bottom w:val="nil"/>
          <w:right w:val="nil"/>
          <w:between w:val="nil"/>
        </w:pBdr>
        <w:spacing w:after="240"/>
        <w:jc w:val="center"/>
        <w:rPr>
          <w:rtl/>
        </w:rPr>
      </w:pPr>
    </w:p>
    <w:p w14:paraId="149AA7E6" w14:textId="77777777" w:rsidR="005A3FA6" w:rsidRDefault="005A3FA6">
      <w:pPr>
        <w:pBdr>
          <w:top w:val="nil"/>
          <w:left w:val="nil"/>
          <w:bottom w:val="nil"/>
          <w:right w:val="nil"/>
          <w:between w:val="nil"/>
        </w:pBdr>
        <w:spacing w:after="240"/>
        <w:jc w:val="center"/>
        <w:rPr>
          <w:rtl/>
        </w:rPr>
      </w:pPr>
    </w:p>
    <w:p w14:paraId="0C27D9DB" w14:textId="77777777" w:rsidR="005A3FA6" w:rsidRDefault="005A3FA6">
      <w:pPr>
        <w:pBdr>
          <w:top w:val="nil"/>
          <w:left w:val="nil"/>
          <w:bottom w:val="nil"/>
          <w:right w:val="nil"/>
          <w:between w:val="nil"/>
        </w:pBdr>
        <w:spacing w:after="240"/>
        <w:jc w:val="center"/>
        <w:rPr>
          <w:rtl/>
        </w:rPr>
      </w:pPr>
    </w:p>
    <w:p w14:paraId="6FDD5BFB" w14:textId="77777777" w:rsidR="005A3FA6" w:rsidRDefault="005A3FA6">
      <w:pPr>
        <w:pBdr>
          <w:top w:val="nil"/>
          <w:left w:val="nil"/>
          <w:bottom w:val="nil"/>
          <w:right w:val="nil"/>
          <w:between w:val="nil"/>
        </w:pBdr>
        <w:spacing w:after="240"/>
        <w:jc w:val="center"/>
      </w:pPr>
    </w:p>
    <w:p w14:paraId="1A1E9995" w14:textId="77777777" w:rsidR="00360809" w:rsidRDefault="00360809">
      <w:pPr>
        <w:pBdr>
          <w:top w:val="nil"/>
          <w:left w:val="nil"/>
          <w:bottom w:val="nil"/>
          <w:right w:val="nil"/>
          <w:between w:val="nil"/>
        </w:pBdr>
        <w:spacing w:after="240"/>
        <w:jc w:val="center"/>
      </w:pPr>
    </w:p>
    <w:p w14:paraId="22F6A419" w14:textId="77777777" w:rsidR="00360809" w:rsidRDefault="00360809">
      <w:pPr>
        <w:pBdr>
          <w:top w:val="nil"/>
          <w:left w:val="nil"/>
          <w:bottom w:val="nil"/>
          <w:right w:val="nil"/>
          <w:between w:val="nil"/>
        </w:pBdr>
        <w:spacing w:after="240"/>
        <w:jc w:val="center"/>
      </w:pPr>
    </w:p>
    <w:p w14:paraId="6B022B0C" w14:textId="77777777" w:rsidR="00360809" w:rsidRDefault="00360809">
      <w:pPr>
        <w:pBdr>
          <w:top w:val="nil"/>
          <w:left w:val="nil"/>
          <w:bottom w:val="nil"/>
          <w:right w:val="nil"/>
          <w:between w:val="nil"/>
        </w:pBdr>
        <w:spacing w:after="240"/>
        <w:jc w:val="center"/>
      </w:pPr>
    </w:p>
    <w:p w14:paraId="4D3A4EA4" w14:textId="77777777" w:rsidR="00360809" w:rsidRDefault="00360809">
      <w:pPr>
        <w:pBdr>
          <w:top w:val="nil"/>
          <w:left w:val="nil"/>
          <w:bottom w:val="nil"/>
          <w:right w:val="nil"/>
          <w:between w:val="nil"/>
        </w:pBdr>
        <w:spacing w:after="240"/>
        <w:jc w:val="center"/>
      </w:pPr>
    </w:p>
    <w:p w14:paraId="50E7B6FA" w14:textId="77777777" w:rsidR="00360809" w:rsidRDefault="00360809">
      <w:pPr>
        <w:pBdr>
          <w:top w:val="nil"/>
          <w:left w:val="nil"/>
          <w:bottom w:val="nil"/>
          <w:right w:val="nil"/>
          <w:between w:val="nil"/>
        </w:pBdr>
        <w:spacing w:after="240"/>
        <w:jc w:val="center"/>
      </w:pPr>
    </w:p>
    <w:p w14:paraId="64638702" w14:textId="77777777" w:rsidR="00360809" w:rsidRDefault="00360809">
      <w:pPr>
        <w:pBdr>
          <w:top w:val="nil"/>
          <w:left w:val="nil"/>
          <w:bottom w:val="nil"/>
          <w:right w:val="nil"/>
          <w:between w:val="nil"/>
        </w:pBdr>
        <w:spacing w:after="240"/>
        <w:jc w:val="center"/>
      </w:pPr>
    </w:p>
    <w:p w14:paraId="593F5109" w14:textId="77777777" w:rsidR="00360809" w:rsidRDefault="00360809">
      <w:pPr>
        <w:pBdr>
          <w:top w:val="nil"/>
          <w:left w:val="nil"/>
          <w:bottom w:val="nil"/>
          <w:right w:val="nil"/>
          <w:between w:val="nil"/>
        </w:pBdr>
        <w:spacing w:after="240"/>
        <w:jc w:val="center"/>
      </w:pPr>
    </w:p>
    <w:p w14:paraId="6D14A307" w14:textId="77777777" w:rsidR="00360809" w:rsidRDefault="00C57170">
      <w:pPr>
        <w:pBdr>
          <w:top w:val="nil"/>
          <w:left w:val="nil"/>
          <w:bottom w:val="nil"/>
          <w:right w:val="nil"/>
          <w:between w:val="nil"/>
        </w:pBdr>
        <w:spacing w:after="240"/>
        <w:jc w:val="center"/>
      </w:pPr>
      <w:r>
        <w:rPr>
          <w:b/>
          <w:sz w:val="36"/>
          <w:szCs w:val="36"/>
          <w:u w:val="single"/>
          <w:rtl/>
        </w:rPr>
        <w:t>נספח א'</w:t>
      </w:r>
    </w:p>
    <w:p w14:paraId="4BBF3ECD" w14:textId="49334F21" w:rsidR="00360809" w:rsidRDefault="00360809">
      <w:pPr>
        <w:pBdr>
          <w:top w:val="nil"/>
          <w:left w:val="nil"/>
          <w:bottom w:val="nil"/>
          <w:right w:val="nil"/>
          <w:between w:val="nil"/>
        </w:pBdr>
        <w:spacing w:after="240"/>
        <w:jc w:val="center"/>
      </w:pPr>
    </w:p>
    <w:p w14:paraId="02D910AC" w14:textId="77777777" w:rsidR="00360809" w:rsidRDefault="00360809">
      <w:pPr>
        <w:pBdr>
          <w:top w:val="nil"/>
          <w:left w:val="nil"/>
          <w:bottom w:val="nil"/>
          <w:right w:val="nil"/>
          <w:between w:val="nil"/>
        </w:pBdr>
        <w:spacing w:after="240"/>
        <w:jc w:val="center"/>
      </w:pPr>
    </w:p>
    <w:p w14:paraId="5C6153ED" w14:textId="77777777" w:rsidR="00360809" w:rsidRDefault="00360809">
      <w:pPr>
        <w:pBdr>
          <w:top w:val="nil"/>
          <w:left w:val="nil"/>
          <w:bottom w:val="nil"/>
          <w:right w:val="nil"/>
          <w:between w:val="nil"/>
        </w:pBdr>
        <w:spacing w:after="240"/>
        <w:jc w:val="center"/>
      </w:pPr>
    </w:p>
    <w:p w14:paraId="1CDD82D8" w14:textId="77777777" w:rsidR="00360809" w:rsidRDefault="00360809">
      <w:pPr>
        <w:pBdr>
          <w:top w:val="nil"/>
          <w:left w:val="nil"/>
          <w:bottom w:val="nil"/>
          <w:right w:val="nil"/>
          <w:between w:val="nil"/>
        </w:pBdr>
        <w:spacing w:after="240"/>
        <w:jc w:val="center"/>
      </w:pPr>
    </w:p>
    <w:p w14:paraId="78F1577B" w14:textId="77777777" w:rsidR="00360809" w:rsidRDefault="00360809">
      <w:pPr>
        <w:pBdr>
          <w:top w:val="nil"/>
          <w:left w:val="nil"/>
          <w:bottom w:val="nil"/>
          <w:right w:val="nil"/>
          <w:between w:val="nil"/>
        </w:pBdr>
        <w:spacing w:after="240"/>
        <w:jc w:val="center"/>
      </w:pPr>
    </w:p>
    <w:p w14:paraId="5DB600AB" w14:textId="77777777" w:rsidR="00360809" w:rsidRDefault="00C57170">
      <w:pPr>
        <w:pBdr>
          <w:top w:val="nil"/>
          <w:left w:val="nil"/>
          <w:bottom w:val="nil"/>
          <w:right w:val="nil"/>
          <w:between w:val="nil"/>
        </w:pBdr>
        <w:spacing w:after="240"/>
        <w:jc w:val="center"/>
      </w:pPr>
      <w:r>
        <w:rPr>
          <w:b/>
          <w:sz w:val="36"/>
          <w:szCs w:val="36"/>
          <w:u w:val="single"/>
          <w:rtl/>
        </w:rPr>
        <w:t>נספח ב'</w:t>
      </w:r>
    </w:p>
    <w:p w14:paraId="2A448B0C" w14:textId="77777777" w:rsidR="00360809" w:rsidRDefault="00360809">
      <w:pPr>
        <w:pBdr>
          <w:top w:val="nil"/>
          <w:left w:val="nil"/>
          <w:bottom w:val="nil"/>
          <w:right w:val="nil"/>
          <w:between w:val="nil"/>
        </w:pBdr>
        <w:spacing w:after="240"/>
        <w:jc w:val="center"/>
      </w:pPr>
    </w:p>
    <w:p w14:paraId="2297068E" w14:textId="589AE440" w:rsidR="00360809" w:rsidRDefault="00360809">
      <w:pPr>
        <w:pBdr>
          <w:top w:val="nil"/>
          <w:left w:val="nil"/>
          <w:bottom w:val="nil"/>
          <w:right w:val="nil"/>
          <w:between w:val="nil"/>
        </w:pBdr>
        <w:spacing w:after="240"/>
        <w:jc w:val="center"/>
      </w:pPr>
    </w:p>
    <w:p w14:paraId="16E33C19" w14:textId="77777777" w:rsidR="00360809" w:rsidRDefault="00360809">
      <w:pPr>
        <w:pBdr>
          <w:top w:val="nil"/>
          <w:left w:val="nil"/>
          <w:bottom w:val="nil"/>
          <w:right w:val="nil"/>
          <w:between w:val="nil"/>
        </w:pBdr>
        <w:spacing w:after="240"/>
        <w:jc w:val="center"/>
        <w:rPr>
          <w:rtl/>
        </w:rPr>
      </w:pPr>
    </w:p>
    <w:p w14:paraId="26853BA3" w14:textId="77777777" w:rsidR="005A3FA6" w:rsidRDefault="005A3FA6">
      <w:pPr>
        <w:pBdr>
          <w:top w:val="nil"/>
          <w:left w:val="nil"/>
          <w:bottom w:val="nil"/>
          <w:right w:val="nil"/>
          <w:between w:val="nil"/>
        </w:pBdr>
        <w:spacing w:after="240"/>
        <w:jc w:val="center"/>
        <w:rPr>
          <w:rtl/>
        </w:rPr>
      </w:pPr>
    </w:p>
    <w:p w14:paraId="604DAAAA" w14:textId="77777777" w:rsidR="005A3FA6" w:rsidRDefault="005A3FA6">
      <w:pPr>
        <w:pBdr>
          <w:top w:val="nil"/>
          <w:left w:val="nil"/>
          <w:bottom w:val="nil"/>
          <w:right w:val="nil"/>
          <w:between w:val="nil"/>
        </w:pBdr>
        <w:spacing w:after="240"/>
        <w:jc w:val="center"/>
        <w:rPr>
          <w:rtl/>
        </w:rPr>
      </w:pPr>
    </w:p>
    <w:p w14:paraId="1E991C6B" w14:textId="77777777" w:rsidR="005A3FA6" w:rsidRDefault="005A3FA6">
      <w:pPr>
        <w:pBdr>
          <w:top w:val="nil"/>
          <w:left w:val="nil"/>
          <w:bottom w:val="nil"/>
          <w:right w:val="nil"/>
          <w:between w:val="nil"/>
        </w:pBdr>
        <w:spacing w:after="240"/>
        <w:jc w:val="center"/>
        <w:rPr>
          <w:rtl/>
        </w:rPr>
      </w:pPr>
    </w:p>
    <w:p w14:paraId="72E3F47C" w14:textId="77777777" w:rsidR="005A3FA6" w:rsidRDefault="005A3FA6">
      <w:pPr>
        <w:pBdr>
          <w:top w:val="nil"/>
          <w:left w:val="nil"/>
          <w:bottom w:val="nil"/>
          <w:right w:val="nil"/>
          <w:between w:val="nil"/>
        </w:pBdr>
        <w:spacing w:after="240"/>
        <w:jc w:val="center"/>
        <w:rPr>
          <w:rtl/>
        </w:rPr>
      </w:pPr>
    </w:p>
    <w:p w14:paraId="2E271B0E" w14:textId="77777777" w:rsidR="005A3FA6" w:rsidRDefault="005A3FA6">
      <w:pPr>
        <w:pBdr>
          <w:top w:val="nil"/>
          <w:left w:val="nil"/>
          <w:bottom w:val="nil"/>
          <w:right w:val="nil"/>
          <w:between w:val="nil"/>
        </w:pBdr>
        <w:spacing w:after="240"/>
        <w:jc w:val="center"/>
      </w:pPr>
    </w:p>
    <w:p w14:paraId="2D45B20B" w14:textId="77777777" w:rsidR="00360809" w:rsidRDefault="00360809">
      <w:pPr>
        <w:pBdr>
          <w:top w:val="nil"/>
          <w:left w:val="nil"/>
          <w:bottom w:val="nil"/>
          <w:right w:val="nil"/>
          <w:between w:val="nil"/>
        </w:pBdr>
        <w:spacing w:after="240"/>
        <w:jc w:val="center"/>
      </w:pPr>
    </w:p>
    <w:p w14:paraId="65CC0E2F" w14:textId="77777777" w:rsidR="00360809" w:rsidRDefault="00360809">
      <w:pPr>
        <w:pBdr>
          <w:top w:val="nil"/>
          <w:left w:val="nil"/>
          <w:bottom w:val="nil"/>
          <w:right w:val="nil"/>
          <w:between w:val="nil"/>
        </w:pBdr>
        <w:spacing w:after="240"/>
        <w:jc w:val="center"/>
      </w:pPr>
    </w:p>
    <w:p w14:paraId="60491822" w14:textId="77777777" w:rsidR="00360809" w:rsidRDefault="00360809">
      <w:pPr>
        <w:pBdr>
          <w:top w:val="nil"/>
          <w:left w:val="nil"/>
          <w:bottom w:val="nil"/>
          <w:right w:val="nil"/>
          <w:between w:val="nil"/>
        </w:pBdr>
        <w:spacing w:after="240"/>
        <w:jc w:val="center"/>
      </w:pPr>
    </w:p>
    <w:p w14:paraId="6F2FC23D" w14:textId="77777777" w:rsidR="00360809" w:rsidRDefault="00360809" w:rsidP="005A3FA6">
      <w:pPr>
        <w:pBdr>
          <w:top w:val="nil"/>
          <w:left w:val="nil"/>
          <w:bottom w:val="nil"/>
          <w:right w:val="nil"/>
          <w:between w:val="nil"/>
        </w:pBdr>
        <w:spacing w:after="240"/>
      </w:pPr>
    </w:p>
    <w:p w14:paraId="163BA1F6" w14:textId="77777777" w:rsidR="00360809" w:rsidRDefault="00360809">
      <w:pPr>
        <w:pBdr>
          <w:top w:val="nil"/>
          <w:left w:val="nil"/>
          <w:bottom w:val="nil"/>
          <w:right w:val="nil"/>
          <w:between w:val="nil"/>
        </w:pBdr>
        <w:spacing w:after="240"/>
        <w:jc w:val="center"/>
      </w:pPr>
    </w:p>
    <w:p w14:paraId="74284783" w14:textId="77777777" w:rsidR="00360809" w:rsidRDefault="00360809">
      <w:pPr>
        <w:pBdr>
          <w:top w:val="nil"/>
          <w:left w:val="nil"/>
          <w:bottom w:val="nil"/>
          <w:right w:val="nil"/>
          <w:between w:val="nil"/>
        </w:pBdr>
        <w:rPr>
          <w:sz w:val="22"/>
          <w:szCs w:val="22"/>
        </w:rPr>
      </w:pPr>
    </w:p>
    <w:p w14:paraId="484C6F0A" w14:textId="77777777" w:rsidR="00360809" w:rsidRDefault="00360809">
      <w:pPr>
        <w:pBdr>
          <w:top w:val="nil"/>
          <w:left w:val="nil"/>
          <w:bottom w:val="nil"/>
          <w:right w:val="nil"/>
          <w:between w:val="nil"/>
        </w:pBdr>
        <w:rPr>
          <w:sz w:val="22"/>
          <w:szCs w:val="22"/>
        </w:rPr>
      </w:pPr>
    </w:p>
    <w:p w14:paraId="374CB59D" w14:textId="77777777" w:rsidR="00360809" w:rsidRDefault="00360809">
      <w:pPr>
        <w:pBdr>
          <w:top w:val="nil"/>
          <w:left w:val="nil"/>
          <w:bottom w:val="nil"/>
          <w:right w:val="nil"/>
          <w:between w:val="nil"/>
        </w:pBdr>
        <w:rPr>
          <w:sz w:val="22"/>
          <w:szCs w:val="22"/>
        </w:rPr>
      </w:pPr>
    </w:p>
    <w:p w14:paraId="14E01FDB" w14:textId="77777777" w:rsidR="00360809" w:rsidRDefault="00360809">
      <w:pPr>
        <w:pBdr>
          <w:top w:val="nil"/>
          <w:left w:val="nil"/>
          <w:bottom w:val="nil"/>
          <w:right w:val="nil"/>
          <w:between w:val="nil"/>
        </w:pBdr>
        <w:rPr>
          <w:sz w:val="22"/>
          <w:szCs w:val="22"/>
        </w:rPr>
      </w:pPr>
    </w:p>
    <w:p w14:paraId="7532C389" w14:textId="6F2C7219" w:rsidR="00360809" w:rsidRDefault="00360809">
      <w:pPr>
        <w:pBdr>
          <w:top w:val="nil"/>
          <w:left w:val="nil"/>
          <w:bottom w:val="nil"/>
          <w:right w:val="nil"/>
          <w:between w:val="nil"/>
        </w:pBdr>
        <w:rPr>
          <w:sz w:val="22"/>
          <w:szCs w:val="22"/>
        </w:rPr>
      </w:pPr>
    </w:p>
    <w:p w14:paraId="37845AB4" w14:textId="77777777" w:rsidR="00360809" w:rsidRDefault="00360809">
      <w:pPr>
        <w:pBdr>
          <w:top w:val="nil"/>
          <w:left w:val="nil"/>
          <w:bottom w:val="nil"/>
          <w:right w:val="nil"/>
          <w:between w:val="nil"/>
        </w:pBdr>
        <w:rPr>
          <w:sz w:val="22"/>
          <w:szCs w:val="22"/>
        </w:rPr>
      </w:pPr>
    </w:p>
    <w:p w14:paraId="6B986FA6" w14:textId="77777777" w:rsidR="00360809" w:rsidRDefault="00360809">
      <w:pPr>
        <w:pBdr>
          <w:top w:val="nil"/>
          <w:left w:val="nil"/>
          <w:bottom w:val="nil"/>
          <w:right w:val="nil"/>
          <w:between w:val="nil"/>
        </w:pBdr>
        <w:rPr>
          <w:sz w:val="22"/>
          <w:szCs w:val="22"/>
        </w:rPr>
      </w:pPr>
    </w:p>
    <w:p w14:paraId="52001F5A" w14:textId="77777777" w:rsidR="00360809" w:rsidRDefault="00360809">
      <w:pPr>
        <w:pBdr>
          <w:top w:val="nil"/>
          <w:left w:val="nil"/>
          <w:bottom w:val="nil"/>
          <w:right w:val="nil"/>
          <w:between w:val="nil"/>
        </w:pBdr>
        <w:rPr>
          <w:sz w:val="22"/>
          <w:szCs w:val="22"/>
        </w:rPr>
      </w:pPr>
    </w:p>
    <w:p w14:paraId="69BF96D6" w14:textId="77777777" w:rsidR="00360809" w:rsidRDefault="00360809">
      <w:pPr>
        <w:pBdr>
          <w:top w:val="nil"/>
          <w:left w:val="nil"/>
          <w:bottom w:val="nil"/>
          <w:right w:val="nil"/>
          <w:between w:val="nil"/>
        </w:pBdr>
        <w:rPr>
          <w:sz w:val="22"/>
          <w:szCs w:val="22"/>
        </w:rPr>
      </w:pPr>
    </w:p>
    <w:p w14:paraId="760A7318" w14:textId="77777777" w:rsidR="00360809" w:rsidRDefault="00360809">
      <w:pPr>
        <w:pBdr>
          <w:top w:val="nil"/>
          <w:left w:val="nil"/>
          <w:bottom w:val="nil"/>
          <w:right w:val="nil"/>
          <w:between w:val="nil"/>
        </w:pBdr>
        <w:rPr>
          <w:sz w:val="22"/>
          <w:szCs w:val="22"/>
        </w:rPr>
      </w:pPr>
    </w:p>
    <w:p w14:paraId="09EE5A61" w14:textId="77777777" w:rsidR="00360809" w:rsidRDefault="00360809">
      <w:pPr>
        <w:pBdr>
          <w:top w:val="nil"/>
          <w:left w:val="nil"/>
          <w:bottom w:val="nil"/>
          <w:right w:val="nil"/>
          <w:between w:val="nil"/>
        </w:pBdr>
        <w:rPr>
          <w:sz w:val="22"/>
          <w:szCs w:val="22"/>
        </w:rPr>
      </w:pPr>
    </w:p>
    <w:p w14:paraId="180DFC0E" w14:textId="77777777" w:rsidR="00360809" w:rsidRDefault="00360809">
      <w:pPr>
        <w:pBdr>
          <w:top w:val="nil"/>
          <w:left w:val="nil"/>
          <w:bottom w:val="nil"/>
          <w:right w:val="nil"/>
          <w:between w:val="nil"/>
        </w:pBdr>
        <w:rPr>
          <w:sz w:val="22"/>
          <w:szCs w:val="22"/>
        </w:rPr>
      </w:pPr>
    </w:p>
    <w:p w14:paraId="6B8B5D21" w14:textId="77777777" w:rsidR="00360809" w:rsidRDefault="00360809">
      <w:pPr>
        <w:pBdr>
          <w:top w:val="nil"/>
          <w:left w:val="nil"/>
          <w:bottom w:val="nil"/>
          <w:right w:val="nil"/>
          <w:between w:val="nil"/>
        </w:pBdr>
        <w:rPr>
          <w:sz w:val="22"/>
          <w:szCs w:val="22"/>
        </w:rPr>
      </w:pPr>
    </w:p>
    <w:p w14:paraId="633E0A01" w14:textId="308CE913" w:rsidR="007B0A0F" w:rsidRDefault="007B0A0F">
      <w:pPr>
        <w:pBdr>
          <w:top w:val="nil"/>
          <w:left w:val="nil"/>
          <w:bottom w:val="nil"/>
          <w:right w:val="nil"/>
          <w:between w:val="nil"/>
        </w:pBdr>
        <w:spacing w:after="240"/>
      </w:pPr>
    </w:p>
    <w:sectPr w:rsidR="007B0A0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B805" w14:textId="77777777" w:rsidR="00FC6826" w:rsidRDefault="00FC6826">
      <w:r>
        <w:separator/>
      </w:r>
    </w:p>
  </w:endnote>
  <w:endnote w:type="continuationSeparator" w:id="0">
    <w:p w14:paraId="7926C433" w14:textId="77777777" w:rsidR="00FC6826" w:rsidRDefault="00FC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0A97" w14:textId="77777777" w:rsidR="00CE20EC" w:rsidRDefault="00CE2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6C25" w14:textId="77777777" w:rsidR="00360809" w:rsidRDefault="00C57170">
    <w:pPr>
      <w:pBdr>
        <w:top w:val="nil"/>
        <w:left w:val="nil"/>
        <w:bottom w:val="nil"/>
        <w:right w:val="nil"/>
        <w:between w:val="nil"/>
      </w:pBdr>
      <w:tabs>
        <w:tab w:val="center" w:pos="4153"/>
        <w:tab w:val="right" w:pos="8306"/>
      </w:tabs>
      <w:jc w:val="center"/>
    </w:pPr>
    <w:r>
      <w:fldChar w:fldCharType="begin"/>
    </w:r>
    <w:r>
      <w:instrText>PAGE</w:instrText>
    </w:r>
    <w:r>
      <w:fldChar w:fldCharType="separate"/>
    </w:r>
    <w:r w:rsidR="00CE20EC">
      <w:rPr>
        <w:noProof/>
        <w:rtl/>
      </w:rPr>
      <w:t>1</w:t>
    </w:r>
    <w:r>
      <w:fldChar w:fldCharType="end"/>
    </w:r>
  </w:p>
  <w:p w14:paraId="0378B42B" w14:textId="77777777" w:rsidR="00360809" w:rsidRDefault="00360809">
    <w:pPr>
      <w:pBdr>
        <w:top w:val="nil"/>
        <w:left w:val="nil"/>
        <w:bottom w:val="nil"/>
        <w:right w:val="nil"/>
        <w:between w:val="nil"/>
      </w:pBdr>
      <w:tabs>
        <w:tab w:val="center" w:pos="4153"/>
        <w:tab w:val="right" w:pos="830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F378" w14:textId="77777777" w:rsidR="00CE20EC" w:rsidRDefault="00CE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2DBA" w14:textId="77777777" w:rsidR="00FC6826" w:rsidRDefault="00FC6826">
      <w:r>
        <w:separator/>
      </w:r>
    </w:p>
  </w:footnote>
  <w:footnote w:type="continuationSeparator" w:id="0">
    <w:p w14:paraId="539833DD" w14:textId="77777777" w:rsidR="00FC6826" w:rsidRDefault="00FC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9B55" w14:textId="77777777" w:rsidR="00CE20EC" w:rsidRDefault="00CE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099E" w14:textId="77777777" w:rsidR="00CE20EC" w:rsidRDefault="00CE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92DA" w14:textId="77777777" w:rsidR="00CE20EC" w:rsidRDefault="00CE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D83"/>
    <w:multiLevelType w:val="multilevel"/>
    <w:tmpl w:val="048CED6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8270BF6"/>
    <w:multiLevelType w:val="multilevel"/>
    <w:tmpl w:val="3AD69BD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88357601">
    <w:abstractNumId w:val="1"/>
  </w:num>
  <w:num w:numId="2" w16cid:durableId="124055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09"/>
    <w:rsid w:val="00020199"/>
    <w:rsid w:val="000265C5"/>
    <w:rsid w:val="000379FC"/>
    <w:rsid w:val="00057C89"/>
    <w:rsid w:val="00086482"/>
    <w:rsid w:val="00162BD8"/>
    <w:rsid w:val="00245AF6"/>
    <w:rsid w:val="00344B7C"/>
    <w:rsid w:val="00347D64"/>
    <w:rsid w:val="00360809"/>
    <w:rsid w:val="0037766D"/>
    <w:rsid w:val="003B0E3F"/>
    <w:rsid w:val="00463375"/>
    <w:rsid w:val="00467D2A"/>
    <w:rsid w:val="00495792"/>
    <w:rsid w:val="004E4311"/>
    <w:rsid w:val="004F28C4"/>
    <w:rsid w:val="00540751"/>
    <w:rsid w:val="00547332"/>
    <w:rsid w:val="005A3FA6"/>
    <w:rsid w:val="0065287A"/>
    <w:rsid w:val="00653C1E"/>
    <w:rsid w:val="00693C04"/>
    <w:rsid w:val="006A1234"/>
    <w:rsid w:val="006D3719"/>
    <w:rsid w:val="0077559A"/>
    <w:rsid w:val="00780616"/>
    <w:rsid w:val="007A424B"/>
    <w:rsid w:val="007B0A0F"/>
    <w:rsid w:val="0080282B"/>
    <w:rsid w:val="00822873"/>
    <w:rsid w:val="008400E7"/>
    <w:rsid w:val="00867538"/>
    <w:rsid w:val="00897E56"/>
    <w:rsid w:val="008A3E3C"/>
    <w:rsid w:val="008B2C8B"/>
    <w:rsid w:val="008F52BB"/>
    <w:rsid w:val="00902355"/>
    <w:rsid w:val="00921A7E"/>
    <w:rsid w:val="00962EB2"/>
    <w:rsid w:val="00A22C75"/>
    <w:rsid w:val="00A760BE"/>
    <w:rsid w:val="00AA23BD"/>
    <w:rsid w:val="00B3700B"/>
    <w:rsid w:val="00BA7AF4"/>
    <w:rsid w:val="00C234D3"/>
    <w:rsid w:val="00C57170"/>
    <w:rsid w:val="00C87C5B"/>
    <w:rsid w:val="00CB2A96"/>
    <w:rsid w:val="00CD652B"/>
    <w:rsid w:val="00CE20EC"/>
    <w:rsid w:val="00CF5640"/>
    <w:rsid w:val="00D05F41"/>
    <w:rsid w:val="00D61AD8"/>
    <w:rsid w:val="00DD6A05"/>
    <w:rsid w:val="00DF2D06"/>
    <w:rsid w:val="00E22668"/>
    <w:rsid w:val="00EA69C3"/>
    <w:rsid w:val="00F4653E"/>
    <w:rsid w:val="00F66BE0"/>
    <w:rsid w:val="00F67A81"/>
    <w:rsid w:val="00F91FD1"/>
    <w:rsid w:val="00FC6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AD843"/>
  <w15:docId w15:val="{D118E07F-FE13-2242-959C-9E60C56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ind w:left="567" w:hanging="567"/>
      <w:jc w:val="both"/>
      <w:outlineLvl w:val="0"/>
    </w:pPr>
    <w:rPr>
      <w:b/>
      <w:color w:val="FF0000"/>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rPr>
  </w:style>
  <w:style w:type="paragraph" w:styleId="Heading5">
    <w:name w:val="heading 5"/>
    <w:basedOn w:val="Normal"/>
    <w:next w:val="Normal"/>
    <w:uiPriority w:val="9"/>
    <w:semiHidden/>
    <w:unhideWhenUsed/>
    <w:qFormat/>
    <w:pPr>
      <w:keepNext/>
      <w:keepLines/>
      <w:ind w:left="2880" w:right="-1620" w:firstLine="72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E20EC"/>
    <w:pPr>
      <w:tabs>
        <w:tab w:val="center" w:pos="4320"/>
        <w:tab w:val="right" w:pos="8640"/>
      </w:tabs>
    </w:pPr>
  </w:style>
  <w:style w:type="character" w:customStyle="1" w:styleId="HeaderChar">
    <w:name w:val="Header Char"/>
    <w:basedOn w:val="DefaultParagraphFont"/>
    <w:link w:val="Header"/>
    <w:uiPriority w:val="99"/>
    <w:rsid w:val="00CE20EC"/>
  </w:style>
  <w:style w:type="paragraph" w:styleId="Footer">
    <w:name w:val="footer"/>
    <w:basedOn w:val="Normal"/>
    <w:link w:val="FooterChar"/>
    <w:uiPriority w:val="99"/>
    <w:unhideWhenUsed/>
    <w:rsid w:val="00CE20EC"/>
    <w:pPr>
      <w:tabs>
        <w:tab w:val="center" w:pos="4320"/>
        <w:tab w:val="right" w:pos="8640"/>
      </w:tabs>
    </w:pPr>
  </w:style>
  <w:style w:type="character" w:customStyle="1" w:styleId="FooterChar">
    <w:name w:val="Footer Char"/>
    <w:basedOn w:val="DefaultParagraphFont"/>
    <w:link w:val="Footer"/>
    <w:uiPriority w:val="99"/>
    <w:rsid w:val="00CE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81023">
      <w:bodyDiv w:val="1"/>
      <w:marLeft w:val="0"/>
      <w:marRight w:val="0"/>
      <w:marTop w:val="0"/>
      <w:marBottom w:val="0"/>
      <w:divBdr>
        <w:top w:val="none" w:sz="0" w:space="0" w:color="auto"/>
        <w:left w:val="none" w:sz="0" w:space="0" w:color="auto"/>
        <w:bottom w:val="none" w:sz="0" w:space="0" w:color="auto"/>
        <w:right w:val="none" w:sz="0" w:space="0" w:color="auto"/>
      </w:divBdr>
    </w:div>
    <w:div w:id="459109712">
      <w:bodyDiv w:val="1"/>
      <w:marLeft w:val="0"/>
      <w:marRight w:val="0"/>
      <w:marTop w:val="0"/>
      <w:marBottom w:val="0"/>
      <w:divBdr>
        <w:top w:val="none" w:sz="0" w:space="0" w:color="auto"/>
        <w:left w:val="none" w:sz="0" w:space="0" w:color="auto"/>
        <w:bottom w:val="none" w:sz="0" w:space="0" w:color="auto"/>
        <w:right w:val="none" w:sz="0" w:space="0" w:color="auto"/>
      </w:divBdr>
    </w:div>
    <w:div w:id="713120450">
      <w:bodyDiv w:val="1"/>
      <w:marLeft w:val="0"/>
      <w:marRight w:val="0"/>
      <w:marTop w:val="0"/>
      <w:marBottom w:val="0"/>
      <w:divBdr>
        <w:top w:val="none" w:sz="0" w:space="0" w:color="auto"/>
        <w:left w:val="none" w:sz="0" w:space="0" w:color="auto"/>
        <w:bottom w:val="none" w:sz="0" w:space="0" w:color="auto"/>
        <w:right w:val="none" w:sz="0" w:space="0" w:color="auto"/>
      </w:divBdr>
    </w:div>
    <w:div w:id="1295330411">
      <w:bodyDiv w:val="1"/>
      <w:marLeft w:val="0"/>
      <w:marRight w:val="0"/>
      <w:marTop w:val="0"/>
      <w:marBottom w:val="0"/>
      <w:divBdr>
        <w:top w:val="none" w:sz="0" w:space="0" w:color="auto"/>
        <w:left w:val="none" w:sz="0" w:space="0" w:color="auto"/>
        <w:bottom w:val="none" w:sz="0" w:space="0" w:color="auto"/>
        <w:right w:val="none" w:sz="0" w:space="0" w:color="auto"/>
      </w:divBdr>
    </w:div>
    <w:div w:id="1560627519">
      <w:bodyDiv w:val="1"/>
      <w:marLeft w:val="0"/>
      <w:marRight w:val="0"/>
      <w:marTop w:val="0"/>
      <w:marBottom w:val="0"/>
      <w:divBdr>
        <w:top w:val="none" w:sz="0" w:space="0" w:color="auto"/>
        <w:left w:val="none" w:sz="0" w:space="0" w:color="auto"/>
        <w:bottom w:val="none" w:sz="0" w:space="0" w:color="auto"/>
        <w:right w:val="none" w:sz="0" w:space="0" w:color="auto"/>
      </w:divBdr>
    </w:div>
    <w:div w:id="1788815972">
      <w:bodyDiv w:val="1"/>
      <w:marLeft w:val="0"/>
      <w:marRight w:val="0"/>
      <w:marTop w:val="0"/>
      <w:marBottom w:val="0"/>
      <w:divBdr>
        <w:top w:val="none" w:sz="0" w:space="0" w:color="auto"/>
        <w:left w:val="none" w:sz="0" w:space="0" w:color="auto"/>
        <w:bottom w:val="none" w:sz="0" w:space="0" w:color="auto"/>
        <w:right w:val="none" w:sz="0" w:space="0" w:color="auto"/>
      </w:divBdr>
    </w:div>
    <w:div w:id="210221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919</Words>
  <Characters>5241</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Hacoon</cp:lastModifiedBy>
  <cp:revision>11</cp:revision>
  <cp:lastPrinted>2021-01-11T10:12:00Z</cp:lastPrinted>
  <dcterms:created xsi:type="dcterms:W3CDTF">2023-01-31T09:32:00Z</dcterms:created>
  <dcterms:modified xsi:type="dcterms:W3CDTF">2023-01-31T19:08:00Z</dcterms:modified>
</cp:coreProperties>
</file>