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Title"/>
      </w:pPr>
      <w:r>
        <w:t xml:space="preserve">Orion Admin — Project Brief</w:t>
      </w:r>
    </w:p>
    <w:p>
      <w:pPr>
        <w:pStyle w:val="Subtitle"/>
      </w:pPr>
      <w:r>
        <w:t xml:space="preserve">Quarterly planning document · Q3 2026</w:t>
      </w:r>
    </w:p>
    <w:p>
      <w:pPr>
        <w:pStyle w:val="Heading1"/>
      </w:pPr>
      <w:r>
        <w:t xml:space="preserve">1. Overview</w:t>
      </w:r>
    </w:p>
    <w:p>
      <w:r>
        <w:t xml:space="preserve">This brief describes the goals for the next release. It uses </w:t>
      </w:r>
      <w:r>
        <w:rPr>
          <w:b/>
        </w:rPr>
        <w:t xml:space="preserve">bold</w:t>
      </w:r>
      <w:r>
        <w:t xml:space="preserve">, </w:t>
      </w:r>
      <w:r>
        <w:rPr>
          <w:i/>
        </w:rPr>
        <w:t xml:space="preserve">italic</w:t>
      </w:r>
      <w:r>
        <w:t xml:space="preserve">, </w:t>
      </w:r>
      <w:r>
        <w:rPr>
          <w:u w:val="single"/>
        </w:rPr>
        <w:t xml:space="preserve">underlined</w:t>
      </w:r>
      <w:r>
        <w:t xml:space="preserve"> and </w:t>
      </w:r>
      <w:r>
        <w:rPr>
          <w:strike/>
        </w:rPr>
        <w:t xml:space="preserve">struck-through</w:t>
      </w:r>
      <w:r>
        <w:t xml:space="preserve"> text, </w:t>
      </w:r>
      <w:r>
        <w:rPr>
          <w:color w:val="C00000"/>
        </w:rPr>
        <w:t xml:space="preserve">red text</w:t>
      </w:r>
      <w:r>
        <w:t xml:space="preserve">, a </w:t>
      </w:r>
      <w:r>
        <w:rPr>
          <w:highlight w:val="yellow"/>
        </w:rPr>
        <w:t xml:space="preserve">highlighted phrase</w:t>
      </w:r>
      <w:r>
        <w:t xml:space="preserve">, E = mc</w:t>
      </w:r>
      <w:r>
        <w:rPr>
          <w:vertAlign w:val="superscript"/>
        </w:rPr>
        <w:t xml:space="preserve">2</w:t>
      </w:r>
      <w:r>
        <w:t xml:space="preserve"> and a link to the </w:t>
      </w:r>
      <w:hyperlink r:id="rId4" w:history="1">
        <w:r>
          <w:rPr>
            <w:rStyle w:val="Hyperlink"/>
          </w:rPr>
          <w:t xml:space="preserve">project website</w:t>
        </w:r>
      </w:hyperlink>
      <w:r>
        <w:t xml:space="preserve">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Ship the media package with zero dependencies</w:t>
      </w:r>
    </w:p>
    <w:p>
      <w:pPr>
        <w:pStyle w:val="ListParagraph"/>
        <w:numPr>
          <w:ilvl w:val="1"/>
          <w:numId w:val="1"/>
        </w:numPr>
      </w:pPr>
      <w:r>
        <w:t xml:space="preserve">Carousel, gallery and lightbox</w:t>
      </w:r>
    </w:p>
    <w:p>
      <w:pPr>
        <w:pStyle w:val="ListParagraph"/>
        <w:numPr>
          <w:ilvl w:val="1"/>
          <w:numId w:val="1"/>
        </w:numPr>
      </w:pPr>
      <w:r>
        <w:t xml:space="preserve">Players and document viewer</w:t>
      </w:r>
    </w:p>
    <w:p>
      <w:pPr>
        <w:pStyle w:val="ListParagraph"/>
        <w:numPr>
          <w:ilvl w:val="0"/>
          <w:numId w:val="1"/>
        </w:numPr>
      </w:pPr>
      <w:r>
        <w:t xml:space="preserve">Reach WCAG 2.2 AA on every component</w:t>
      </w:r>
    </w:p>
    <w:p>
      <w:pPr>
        <w:pStyle w:val="ListParagraph"/>
        <w:numPr>
          <w:ilvl w:val="0"/>
          <w:numId w:val="1"/>
        </w:numPr>
      </w:pPr>
      <w:r>
        <w:t xml:space="preserve">Keep the bundle under 250 KB gzip</w:t>
      </w:r>
    </w:p>
    <w:p>
      <w:pPr>
        <w:pStyle w:val="Heading2"/>
      </w:pPr>
      <w:r>
        <w:t xml:space="preserve">Milestones</w:t>
      </w:r>
    </w:p>
    <w:p>
      <w:pPr>
        <w:pStyle w:val="ListParagraph"/>
        <w:numPr>
          <w:ilvl w:val="0"/>
          <w:numId w:val="2"/>
        </w:numPr>
      </w:pPr>
      <w:r>
        <w:t xml:space="preserve">Design review</w:t>
      </w:r>
    </w:p>
    <w:p>
      <w:pPr>
        <w:pStyle w:val="ListParagraph"/>
        <w:numPr>
          <w:ilvl w:val="0"/>
          <w:numId w:val="2"/>
        </w:numPr>
      </w:pPr>
      <w:r>
        <w:t xml:space="preserve">Implementation</w:t>
      </w:r>
    </w:p>
    <w:p>
      <w:pPr>
        <w:pStyle w:val="ListParagraph"/>
        <w:numPr>
          <w:ilvl w:val="1"/>
          <w:numId w:val="2"/>
        </w:numPr>
      </w:pPr>
      <w:r>
        <w:t xml:space="preserve">Core components</w:t>
      </w:r>
    </w:p>
    <w:p>
      <w:pPr>
        <w:pStyle w:val="ListParagraph"/>
        <w:numPr>
          <w:ilvl w:val="1"/>
          <w:numId w:val="2"/>
        </w:numPr>
      </w:pPr>
      <w:r>
        <w:t xml:space="preserve">Documentation</w:t>
      </w:r>
    </w:p>
    <w:p>
      <w:pPr>
        <w:pStyle w:val="ListParagraph"/>
        <w:numPr>
          <w:ilvl w:val="0"/>
          <w:numId w:val="2"/>
        </w:numPr>
      </w:pPr>
      <w:r>
        <w:t xml:space="preserve">Public beta</w:t>
      </w:r>
    </w:p>
    <w:p>
      <w:pPr>
        <w:pStyle w:val="Quote"/>
      </w:pPr>
      <w:r>
        <w:t xml:space="preserve">“Simplicity is prerequisite for reliability.” — Edsger W. Dijkstra</w:t>
      </w:r>
    </w:p>
    <w:p>
      <w:pPr>
        <w:pStyle w:val="Heading2"/>
      </w:pPr>
      <w:r>
        <w:t xml:space="preserve">Budget</w:t>
      </w:r>
    </w:p>
    <w:tbl>
      <w:tblPr>
        <w:tblStyle w:val="TableGrid"/>
        <w:tblW w:w="5000" w:type="pct"/>
      </w:tblPr>
      <w:tblGrid>
        <w:gridCol w:w="3000"/>
        <w:gridCol w:w="2000"/>
        <w:gridCol w:w="2000"/>
        <w:gridCol w:w="2000"/>
      </w:tblGrid>
      <w:tr>
        <w:trPr>
          <w:tblHeader/>
        </w:trPr>
        <w:tc>
          <w:tcPr>
            <w:shd w:val="clear" w:color="auto" w:fill="DCE6F2"/>
          </w:tcPr>
          <w:p>
            <w:r>
              <w:rPr>
                <w:b/>
              </w:rPr>
              <w:t xml:space="preserve">Team</w:t>
            </w:r>
          </w:p>
        </w:tc>
        <w:tc>
          <w:tcPr>
            <w:shd w:val="clear" w:color="auto" w:fill="DCE6F2"/>
          </w:tcPr>
          <w:p>
            <w:pPr>
              <w:jc w:val="right"/>
            </w:pPr>
            <w:r>
              <w:rPr>
                <w:b/>
              </w:rPr>
              <w:t xml:space="preserve">Q1</w:t>
            </w:r>
          </w:p>
        </w:tc>
        <w:tc>
          <w:tcPr>
            <w:shd w:val="clear" w:color="auto" w:fill="DCE6F2"/>
          </w:tcPr>
          <w:p>
            <w:pPr>
              <w:jc w:val="right"/>
            </w:pPr>
            <w:r>
              <w:rPr>
                <w:b/>
              </w:rPr>
              <w:t xml:space="preserve">Q2</w:t>
            </w:r>
          </w:p>
        </w:tc>
        <w:tc>
          <w:tcPr>
            <w:shd w:val="clear" w:color="auto" w:fill="DCE6F2"/>
          </w:tcPr>
          <w:p>
            <w:pPr>
              <w:jc w:val="right"/>
            </w:pPr>
            <w:r>
              <w:rPr>
                <w:b/>
              </w:rPr>
              <w:t xml:space="preserve">Total</w:t>
            </w:r>
          </w:p>
        </w:tc>
      </w:tr>
      <w:tr>
        <w:tc>
          <w:tcPr>
            <w:vMerge w:val="restart"/>
          </w:tcPr>
          <w:p>
            <w:r>
              <w:t xml:space="preserve">Engineering</w:t>
            </w:r>
          </w:p>
        </w:tc>
        <w:tc>
          <w:tcPr/>
          <w:p>
            <w:pPr>
              <w:jc w:val="right"/>
            </w:pPr>
            <w:r>
              <w:t xml:space="preserve">$120,000</w:t>
            </w:r>
          </w:p>
        </w:tc>
        <w:tc>
          <w:tcPr/>
          <w:p>
            <w:pPr>
              <w:jc w:val="right"/>
            </w:pPr>
            <w:r>
              <w:t xml:space="preserve">$135,000</w:t>
            </w:r>
          </w:p>
        </w:tc>
        <w:tc>
          <w:tcPr/>
          <w:p>
            <w:pPr>
              <w:jc w:val="right"/>
            </w:pPr>
            <w:r>
              <w:t xml:space="preserve">$255,000</w:t>
            </w:r>
          </w:p>
        </w:tc>
      </w:tr>
      <w:tr>
        <w:tc>
          <w:tcPr>
            <w:vMerge/>
          </w:tcPr>
          <w:p/>
        </w:tc>
        <w:tc>
          <w:tcPr/>
          <w:p>
            <w:pPr>
              <w:jc w:val="right"/>
            </w:pPr>
            <w:r>
              <w:t xml:space="preserve">$18,000</w:t>
            </w:r>
          </w:p>
        </w:tc>
        <w:tc>
          <w:tcPr/>
          <w:p>
            <w:pPr>
              <w:jc w:val="right"/>
            </w:pPr>
            <w:r>
              <w:t xml:space="preserve">$22,000</w:t>
            </w:r>
          </w:p>
        </w:tc>
        <w:tc>
          <w:tcPr/>
          <w:p>
            <w:pPr>
              <w:jc w:val="right"/>
            </w:pPr>
            <w:r>
              <w:t xml:space="preserve">$40,000</w:t>
            </w:r>
          </w:p>
        </w:tc>
      </w:tr>
      <w:tr>
        <w:tc>
          <w:tcPr/>
          <w:p>
            <w:r>
              <w:t xml:space="preserve">Design</w:t>
            </w:r>
          </w:p>
        </w:tc>
        <w:tc>
          <w:tcPr/>
          <w:p>
            <w:pPr>
              <w:jc w:val="right"/>
            </w:pPr>
            <w:r>
              <w:t xml:space="preserve">$42,000</w:t>
            </w:r>
          </w:p>
        </w:tc>
        <w:tc>
          <w:tcPr/>
          <w:p>
            <w:pPr>
              <w:jc w:val="right"/>
            </w:pPr>
            <w:r>
              <w:t xml:space="preserve">$38,000</w:t>
            </w:r>
          </w:p>
        </w:tc>
        <w:tc>
          <w:tcPr/>
          <w:p>
            <w:pPr>
              <w:jc w:val="right"/>
            </w:pPr>
            <w:r>
              <w:t xml:space="preserve">$80,000</w:t>
            </w:r>
          </w:p>
        </w:tc>
      </w:tr>
      <w:tr>
        <w:tc>
          <w:tcPr/>
          <w:p>
            <w:r>
              <w:t xml:space="preserve">Shared services (merged across quarters)</w:t>
            </w:r>
          </w:p>
        </w:tc>
        <w:tc>
          <w:tcPr>
            <w:gridSpan w:val="2"/>
          </w:tcPr>
          <w:p>
            <w:pPr>
              <w:jc w:val="center"/>
            </w:pPr>
            <w:r>
              <w:t xml:space="preserve">$64,000 per half</w:t>
            </w:r>
          </w:p>
        </w:tc>
        <w:tc>
          <w:tcPr/>
          <w:p>
            <w:pPr>
              <w:jc w:val="right"/>
            </w:pPr>
            <w:r>
              <w:t xml:space="preserve">$128,000</w:t>
            </w:r>
          </w:p>
        </w:tc>
      </w:tr>
      <w:tr>
        <w:tc>
          <w:tcPr>
            <w:shd w:val="clear" w:color="auto" w:fill="F2F2F2"/>
          </w:tcPr>
          <w:p>
            <w:r>
              <w:rPr>
                <w:b/>
              </w:rPr>
              <w:t xml:space="preserve">Grand total</w:t>
            </w:r>
          </w:p>
        </w:tc>
        <w:tc>
          <w:tcPr>
            <w:gridSpan w:val="2"/>
            <w:shd w:val="clear" w:color="auto" w:fill="F2F2F2"/>
          </w:tcPr>
          <w:p/>
        </w:tc>
        <w:tc>
          <w:tcPr>
            <w:shd w:val="clear" w:color="auto" w:fill="F2F2F2"/>
          </w:tcPr>
          <w:p>
            <w:pPr>
              <w:jc w:val="right"/>
            </w:pPr>
            <w:r>
              <w:rPr>
                <w:b/>
              </w:rPr>
              <w:t xml:space="preserve">$503,000</w:t>
            </w:r>
          </w:p>
        </w:tc>
      </w:tr>
    </w:tbl>
    <w:p>
      <w:pPr>
        <w:jc w:val="center"/>
      </w:pPr>
      <w:r>
        <w:drawing>
          <wp:inline distT="0" distB="0" distL="0" distR="0">
            <wp:extent cx="4572000" cy="2286000"/>
            <wp:docPr id="1" name="Revenue chart" descr="Bar chart of monthly revenu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</w:rPr>
        <w:t xml:space="preserve">Figure 1. Monthly revenue</w:t>
      </w:r>
    </w:p>
    <w:p>
      <w:r>
        <w:br w:type="page"/>
      </w:r>
    </w:p>
    <w:p>
      <w:pPr>
        <w:pStyle w:val="Heading1"/>
      </w:pPr>
      <w:r>
        <w:t xml:space="preserve">2. Timeline</w:t>
      </w:r>
    </w:p>
    <w:p>
      <w:r>
        <w:t xml:space="preserve">Phase one starts in October.</w:t>
      </w:r>
      <w:r>
        <w:tab/>
      </w:r>
      <w:r>
        <w:t xml:space="preserve">Phase two follows in December.</w:t>
      </w:r>
    </w:p>
    <w:p>
      <w:pPr>
        <w:jc w:val="center"/>
      </w:pPr>
      <w:r>
        <w:t xml:space="preserve">Centered paragraph for the sign-off section.</w:t>
      </w:r>
    </w:p>
    <w:p>
      <w:pPr>
        <w:jc w:val="right"/>
      </w:pPr>
      <w:r>
        <w:rPr>
          <w:i/>
        </w:rPr>
        <w:t xml:space="preserve">Right-aligned — Project Office</w:t>
      </w:r>
    </w:p>
    <w:p>
      <w:pPr>
        <w:pStyle w:val="Heading3"/>
      </w:pPr>
      <w:r>
        <w:t xml:space="preserve">Risks</w:t>
      </w:r>
    </w:p>
    <w:p>
      <w:r>
        <w:t xml:space="preserve">Browser support for inline PDF differs on mobile; the viewer falls back to a download card.</w:t>
      </w:r>
    </w:p>
    <w:sectPr>
      <w:pgSz w:w="11906" w:h="16838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</w:lvl>
    <w:lvl w:ilvl="1">
      <w:start w:val="1"/>
      <w:numFmt w:val="bullet"/>
      <w:lvlText w:val="◦"/>
      <w:lvlJc w:val="left"/>
    </w:lvl>
  </w:abstractNum>
  <w:abstractNum w:abstractNumId="1"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>
    <w:name w:val="Normal"/>
    <w:rPr>
      <w:sz w:val="22"/>
    </w:rPr>
  </w:style>
  <w:style w:type="paragraph" w:styleId="Title">
    <w:name w:val="Title"/>
    <w:basedOn w:val="Normal"/>
    <w:rPr>
      <w:sz w:val="56"/>
    </w:rPr>
  </w:style>
  <w:style w:type="paragraph" w:styleId="Subtitle">
    <w:name w:val="Subtitle"/>
    <w:basedOn w:val="Normal"/>
    <w:rPr>
      <w:color w:val="595959"/>
    </w:rPr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6"/>
    </w:rPr>
  </w:style>
  <w:style w:type="paragraph" w:styleId="Heading3">
    <w:name w:val="heading 3"/>
    <w:basedOn w:val="Normal"/>
    <w:pPr>
      <w:outlineLvl w:val="2"/>
    </w:pPr>
    <w:rPr>
      <w:b/>
    </w:rPr>
  </w:style>
  <w:style w:type="paragraph" w:styleId="Quote">
    <w:name w:val="Quote"/>
    <w:basedOn w:val="Normal"/>
    <w:rPr>
      <w:i/>
    </w:rPr>
  </w:style>
  <w:style w:type="paragraph" w:styleId="ListParagraph">
    <w:name w:val="List Paragraph"/>
    <w:basedOn w:val="Normal"/>
  </w:style>
  <w:style w:type="table" w:styleId="TableGrid">
    <w:name w:val="Table Grid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hyperlink" Target="https://example.com/orion" TargetMode="External"/></Relationships>
</file>

<file path=docProps/core.xml><?xml version="1.0" encoding="utf-8"?>
<cp:coreProperties xmlns:cp="http://schemas.openxmlformats.org/package/2006/metadata/core-properties" xmlns:dc="http://purl.org/dc/elements/1.1/">
  <dc:title>Project Brief</dc:title>
  <dc:creator>Orion Admin</dc:creator>
</cp:coreProperties>
</file>