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32"/>
          <w:szCs w:val="32"/>
        </w:rPr>
        <w:t xml:space="preserve">EXECUTIVE SUMMARY</w:t>
      </w:r>
    </w:p>
    <w:p>
      <w:pPr>
        <w:spacing w:after="80"/>
        <w:jc w:val="center"/>
      </w:pPr>
      <w:r>
        <w:rPr>
          <w:rFonts w:ascii="Calibri" w:cs="Calibri" w:eastAsia="Calibri" w:hAnsi="Calibri"/>
          <w:b/>
          <w:bCs/>
          <w:color w:val="2E75B6"/>
          <w:sz w:val="26"/>
          <w:szCs w:val="26"/>
        </w:rPr>
        <w:t xml:space="preserve">Instructor Performance and Course Quality Evaluation</w:t>
      </w:r>
    </w:p>
    <w:p>
      <w:pPr>
        <w:spacing w:after="300"/>
        <w:jc w:val="center"/>
      </w:pPr>
      <w:r>
        <w:rPr>
          <w:rFonts w:ascii="Calibri" w:cs="Calibri" w:eastAsia="Calibri" w:hAnsi="Calibri"/>
          <w:color w:val="666666"/>
          <w:sz w:val="20"/>
          <w:szCs w:val="20"/>
        </w:rPr>
        <w:t xml:space="preserve">EduPro Online Learning Platform</w:t>
      </w:r>
    </w:p>
    <w:p>
      <w:pPr>
        <w:pStyle w:val="Heading1"/>
      </w:pPr>
      <w:r>
        <w:t xml:space="preserve">Purpose of this Document</w:t>
      </w:r>
    </w:p>
    <w:p>
      <w:pPr>
        <w:spacing w:after="160"/>
      </w:pPr>
      <w:r>
        <w:rPr>
          <w:rFonts w:ascii="Calibri" w:cs="Calibri" w:eastAsia="Calibri" w:hAnsi="Calibri"/>
          <w:sz w:val="22"/>
          <w:szCs w:val="22"/>
        </w:rPr>
        <w:t xml:space="preserve">This executive summary presents the main findings of a data-driven evaluation of instructor performance and course quality on the EduPro platform. The analysis is intended for senior leadership, policy stakeholders and decision-makers who need a clear view of teaching effectiveness, quality gaps and recommended actions.</w:t>
      </w:r>
    </w:p>
    <w:p>
      <w:pPr>
        <w:pStyle w:val="Heading1"/>
      </w:pPr>
      <w:r>
        <w:t xml:space="preserve">Why This Evaluation Matters</w:t>
      </w:r>
    </w:p>
    <w:p>
      <w:pPr>
        <w:spacing w:after="120"/>
      </w:pPr>
      <w:r>
        <w:rPr>
          <w:rFonts w:ascii="Calibri" w:cs="Calibri" w:eastAsia="Calibri" w:hAnsi="Calibri"/>
          <w:sz w:val="22"/>
          <w:szCs w:val="22"/>
        </w:rPr>
        <w:t xml:space="preserve">In online education, instructor quality and course design are the strongest drivers of learner satisfaction, course ratings, repeat enrolments and platform credibility. Even when demand is strong, poor instructional quality leads to low ratings, negative reviews and reduced trust. EduPro previously lacked a structured, objective way to answer:</w:t>
      </w:r>
    </w:p>
    <w:p>
      <w:pPr>
        <w:spacing w:after="60"/>
      </w:pPr>
      <w:r>
        <w:rPr>
          <w:rFonts w:ascii="Calibri" w:cs="Calibri" w:eastAsia="Calibri" w:hAnsi="Calibri"/>
          <w:sz w:val="22"/>
          <w:szCs w:val="22"/>
        </w:rPr>
        <w:t xml:space="preserve">• Which instructors consistently deliver high-quality courses?</w:t>
      </w:r>
    </w:p>
    <w:p>
      <w:pPr>
        <w:spacing w:after="60"/>
      </w:pPr>
      <w:r>
        <w:rPr>
          <w:rFonts w:ascii="Calibri" w:cs="Calibri" w:eastAsia="Calibri" w:hAnsi="Calibri"/>
          <w:sz w:val="22"/>
          <w:szCs w:val="22"/>
        </w:rPr>
        <w:t xml:space="preserve">• Does teaching experience translate into better-rated courses?</w:t>
      </w:r>
    </w:p>
    <w:p>
      <w:pPr>
        <w:spacing w:after="60"/>
      </w:pPr>
      <w:r>
        <w:rPr>
          <w:rFonts w:ascii="Calibri" w:cs="Calibri" w:eastAsia="Calibri" w:hAnsi="Calibri"/>
          <w:sz w:val="22"/>
          <w:szCs w:val="22"/>
        </w:rPr>
        <w:t xml:space="preserve">• Are some course categories more dependent on instructor quality?</w:t>
      </w:r>
    </w:p>
    <w:p>
      <w:pPr>
        <w:spacing w:after="160"/>
      </w:pPr>
      <w:r>
        <w:rPr>
          <w:rFonts w:ascii="Calibri" w:cs="Calibri" w:eastAsia="Calibri" w:hAnsi="Calibri"/>
          <w:sz w:val="22"/>
          <w:szCs w:val="22"/>
        </w:rPr>
        <w:t xml:space="preserve">• How evenly is teaching performance distributed across the platform?</w:t>
      </w:r>
    </w:p>
    <w:p>
      <w:pPr>
        <w:pStyle w:val="Heading1"/>
      </w:pPr>
      <w:r>
        <w:t xml:space="preserve">Scope of Analysis</w:t>
      </w:r>
    </w:p>
    <w:p>
      <w:pPr>
        <w:spacing w:after="160"/>
      </w:pPr>
      <w:r>
        <w:rPr>
          <w:rFonts w:ascii="Calibri" w:cs="Calibri" w:eastAsia="Calibri" w:hAnsi="Calibri"/>
          <w:sz w:val="22"/>
          <w:szCs w:val="22"/>
        </w:rPr>
        <w:t xml:space="preserve">The evaluation used four datasets: 60 instructors, 60 courses, 10,000 transactions and 3,000 users. Tables were joined on TeacherID and CourseID. Five key analytical questions and five Key Performance Indicators (KPIs) guided the work. Results are available in a research paper and an interactive Streamlit dashboard.</w:t>
      </w:r>
    </w:p>
    <w:p>
      <w:pPr>
        <w:pStyle w:val="Heading1"/>
      </w:pPr>
      <w:r>
        <w:t xml:space="preserve">Key Findings</w:t>
      </w:r>
    </w:p>
    <w:p>
      <w:pPr>
        <w:pStyle w:val="Heading2"/>
      </w:pPr>
      <w:r>
        <w:t xml:space="preserve">1. Instructor ratings are unevenly distributed</w:t>
      </w:r>
    </w:p>
    <w:p>
      <w:pPr>
        <w:spacing w:after="120"/>
      </w:pPr>
      <w:r>
        <w:rPr>
          <w:rFonts w:ascii="Calibri" w:cs="Calibri" w:eastAsia="Calibri" w:hAnsi="Calibri"/>
          <w:sz w:val="22"/>
          <w:szCs w:val="22"/>
        </w:rPr>
        <w:t xml:space="preserve">Average Teacher Rating is approximately 3.12 (scale 1–5). Ratings range from about 1.05 to 4.97. Teaching quality is not uniform; both high and low performers exist in significant numbers.</w:t>
      </w:r>
    </w:p>
    <w:p>
      <w:pPr>
        <w:pStyle w:val="Heading2"/>
      </w:pPr>
      <w:r>
        <w:t xml:space="preserve">2. Experience improves teacher ratings, but not course ratings</w:t>
      </w:r>
    </w:p>
    <w:p>
      <w:pPr>
        <w:spacing w:after="120"/>
      </w:pPr>
      <w:r>
        <w:rPr>
          <w:rFonts w:ascii="Calibri" w:cs="Calibri" w:eastAsia="Calibri" w:hAnsi="Calibri"/>
          <w:sz w:val="22"/>
          <w:szCs w:val="22"/>
        </w:rPr>
        <w:t xml:space="preserve">Years of experience and Teacher Rating show a moderate positive correlation (≈ 0.60). More experienced instructors tend to receive higher personal ratings. However, the link between experience and Course Rating is near zero. Experience alone does not guarantee better course outcomes.</w:t>
      </w:r>
    </w:p>
    <w:p>
      <w:pPr>
        <w:pStyle w:val="Heading2"/>
      </w:pPr>
      <w:r>
        <w:t xml:space="preserve">3. Teacher rating and course rating are only weakly related</w:t>
      </w:r>
    </w:p>
    <w:p>
      <w:pPr>
        <w:spacing w:after="120"/>
      </w:pPr>
      <w:r>
        <w:rPr>
          <w:rFonts w:ascii="Calibri" w:cs="Calibri" w:eastAsia="Calibri" w:hAnsi="Calibri"/>
          <w:sz w:val="22"/>
          <w:szCs w:val="22"/>
        </w:rPr>
        <w:t xml:space="preserve">Correlation between TeacherRating and CourseRating is approximately –0.03. A highly rated instructor does not automatically produce a highly rated course. Course design and content quality matter independently of the instructor’s personal rating.</w:t>
      </w:r>
    </w:p>
    <w:p>
      <w:pPr>
        <w:pStyle w:val="Heading2"/>
      </w:pPr>
      <w:r>
        <w:t xml:space="preserve">4. High-rated instructors attract more enrolments</w:t>
      </w:r>
    </w:p>
    <w:p>
      <w:pPr>
        <w:spacing w:after="120"/>
      </w:pPr>
      <w:r>
        <w:rPr>
          <w:rFonts w:ascii="Calibri" w:cs="Calibri" w:eastAsia="Calibri" w:hAnsi="Calibri"/>
          <w:sz w:val="22"/>
          <w:szCs w:val="22"/>
        </w:rPr>
        <w:t xml:space="preserve">When instructors are grouped into High (≥4.0), Mid and Low tiers, high-tier instructors attract more enrolments on average. A small number of top instructors account for a large share of total enrolments. Instructor reputation influences learner choice.</w:t>
      </w:r>
    </w:p>
    <w:p>
      <w:pPr>
        <w:pStyle w:val="Heading2"/>
      </w:pPr>
      <w:r>
        <w:t xml:space="preserve">5. Expertise gaps and critical domains exist</w:t>
      </w:r>
    </w:p>
    <w:p>
      <w:pPr>
        <w:spacing w:after="120"/>
      </w:pPr>
      <w:r>
        <w:rPr>
          <w:rFonts w:ascii="Calibri" w:cs="Calibri" w:eastAsia="Calibri" w:hAnsi="Calibri"/>
          <w:sz w:val="22"/>
          <w:szCs w:val="22"/>
        </w:rPr>
        <w:t xml:space="preserve">Marketing and Programming each have only one instructor – a clear staffing gap. Machine Learning and Cybersecurity show stronger dependence on instructor quality and should receive priority quality-assurance attention. Digital Marketing has the largest instructor base (11).</w:t>
      </w:r>
    </w:p>
    <w:p>
      <w:pPr>
        <w:pStyle w:val="Heading1"/>
      </w:pPr>
      <w:r>
        <w:t xml:space="preserve">KPI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000000" w:sz="1"/>
              <w:left w:val="single" w:color="000000" w:sz="1"/>
              <w:bottom w:val="single" w:color="000000" w:sz="1"/>
              <w:right w:val="single" w:color="000000" w:sz="1"/>
            </w:tcBorders>
            <w:shd w:fill="1F4E79" w:val="clear"/>
          </w:tcPr>
          <w:p>
            <w:pPr>
              <w:jc w:val="center"/>
            </w:pPr>
            <w:r>
              <w:rPr>
                <w:rFonts w:ascii="Calibri" w:cs="Calibri" w:eastAsia="Calibri" w:hAnsi="Calibri"/>
                <w:b/>
                <w:bCs/>
                <w:color w:val="FFFFFF"/>
                <w:sz w:val="18"/>
                <w:szCs w:val="18"/>
              </w:rPr>
              <w:t xml:space="preserve">KPI</w:t>
            </w:r>
          </w:p>
        </w:tc>
        <w:tc>
          <w:tcPr>
            <w:tcW w:type="dxa" w:w="2000"/>
            <w:tcBorders>
              <w:top w:val="single" w:color="000000" w:sz="1"/>
              <w:left w:val="single" w:color="000000" w:sz="1"/>
              <w:bottom w:val="single" w:color="000000" w:sz="1"/>
              <w:right w:val="single" w:color="000000" w:sz="1"/>
            </w:tcBorders>
            <w:shd w:fill="1F4E79" w:val="clear"/>
          </w:tcPr>
          <w:p>
            <w:pPr>
              <w:jc w:val="center"/>
            </w:pPr>
            <w:r>
              <w:rPr>
                <w:rFonts w:ascii="Calibri" w:cs="Calibri" w:eastAsia="Calibri" w:hAnsi="Calibri"/>
                <w:b/>
                <w:bCs/>
                <w:color w:val="FFFFFF"/>
                <w:sz w:val="18"/>
                <w:szCs w:val="18"/>
              </w:rPr>
              <w:t xml:space="preserve">Value</w:t>
            </w:r>
          </w:p>
        </w:tc>
        <w:tc>
          <w:tcPr>
            <w:tcW w:type="dxa" w:w="4160"/>
            <w:tcBorders>
              <w:top w:val="single" w:color="000000" w:sz="1"/>
              <w:left w:val="single" w:color="000000" w:sz="1"/>
              <w:bottom w:val="single" w:color="000000" w:sz="1"/>
              <w:right w:val="single" w:color="000000" w:sz="1"/>
            </w:tcBorders>
            <w:shd w:fill="1F4E79" w:val="clear"/>
          </w:tcPr>
          <w:p>
            <w:pPr>
              <w:jc w:val="center"/>
            </w:pPr>
            <w:r>
              <w:rPr>
                <w:rFonts w:ascii="Calibri" w:cs="Calibri" w:eastAsia="Calibri" w:hAnsi="Calibri"/>
                <w:b/>
                <w:bCs/>
                <w:color w:val="FFFFFF"/>
                <w:sz w:val="18"/>
                <w:szCs w:val="18"/>
              </w:rPr>
              <w:t xml:space="preserve">Interpretation</w:t>
            </w:r>
          </w:p>
        </w:tc>
      </w:tr>
      <w:tr>
        <w:tc>
          <w:tcPr>
            <w:tcW w:type="dxa" w:w="32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Average Teacher Rating</w:t>
            </w:r>
          </w:p>
        </w:tc>
        <w:tc>
          <w:tcPr>
            <w:tcW w:type="dxa" w:w="20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~3.12</w:t>
            </w:r>
          </w:p>
        </w:tc>
        <w:tc>
          <w:tcPr>
            <w:tcW w:type="dxa" w:w="416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Mid-range overall teaching quality</w:t>
            </w:r>
          </w:p>
        </w:tc>
      </w:tr>
      <w:tr>
        <w:tc>
          <w:tcPr>
            <w:tcW w:type="dxa" w:w="320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Average Course Rating</w:t>
            </w:r>
          </w:p>
        </w:tc>
        <w:tc>
          <w:tcPr>
            <w:tcW w:type="dxa" w:w="200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~3.10</w:t>
            </w:r>
          </w:p>
        </w:tc>
        <w:tc>
          <w:tcPr>
            <w:tcW w:type="dxa" w:w="416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Mid-range content effectiveness</w:t>
            </w:r>
          </w:p>
        </w:tc>
      </w:tr>
      <w:tr>
        <w:tc>
          <w:tcPr>
            <w:tcW w:type="dxa" w:w="32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Experience Impact Score</w:t>
            </w:r>
          </w:p>
        </w:tc>
        <w:tc>
          <w:tcPr>
            <w:tcW w:type="dxa" w:w="20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~0.60</w:t>
            </w:r>
          </w:p>
        </w:tc>
        <w:tc>
          <w:tcPr>
            <w:tcW w:type="dxa" w:w="416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Moderate positive effect of experience</w:t>
            </w:r>
          </w:p>
        </w:tc>
      </w:tr>
      <w:tr>
        <w:tc>
          <w:tcPr>
            <w:tcW w:type="dxa" w:w="320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Teacher–Course Rating Correlation</w:t>
            </w:r>
          </w:p>
        </w:tc>
        <w:tc>
          <w:tcPr>
            <w:tcW w:type="dxa" w:w="200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~–0.03</w:t>
            </w:r>
          </w:p>
        </w:tc>
        <w:tc>
          <w:tcPr>
            <w:tcW w:type="dxa" w:w="4160"/>
            <w:tcBorders>
              <w:top w:val="single" w:color="000000" w:sz="1"/>
              <w:left w:val="single" w:color="000000" w:sz="1"/>
              <w:bottom w:val="single" w:color="000000" w:sz="1"/>
              <w:right w:val="single" w:color="000000" w:sz="1"/>
            </w:tcBorders>
          </w:tcPr>
          <w:p>
            <w:r>
              <w:rPr>
                <w:rFonts w:ascii="Calibri" w:cs="Calibri" w:eastAsia="Calibri" w:hAnsi="Calibri"/>
                <w:sz w:val="18"/>
                <w:szCs w:val="18"/>
              </w:rPr>
              <w:t xml:space="preserve">Almost no direct relationship</w:t>
            </w:r>
          </w:p>
        </w:tc>
      </w:tr>
      <w:tr>
        <w:tc>
          <w:tcPr>
            <w:tcW w:type="dxa" w:w="32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Enrolment Influence</w:t>
            </w:r>
          </w:p>
        </w:tc>
        <w:tc>
          <w:tcPr>
            <w:tcW w:type="dxa" w:w="200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Positive</w:t>
            </w:r>
          </w:p>
        </w:tc>
        <w:tc>
          <w:tcPr>
            <w:tcW w:type="dxa" w:w="4160"/>
            <w:tcBorders>
              <w:top w:val="single" w:color="000000" w:sz="1"/>
              <w:left w:val="single" w:color="000000" w:sz="1"/>
              <w:bottom w:val="single" w:color="000000" w:sz="1"/>
              <w:right w:val="single" w:color="000000" w:sz="1"/>
            </w:tcBorders>
            <w:shd w:fill="D6E3F0" w:val="clear"/>
          </w:tcPr>
          <w:p>
            <w:r>
              <w:rPr>
                <w:rFonts w:ascii="Calibri" w:cs="Calibri" w:eastAsia="Calibri" w:hAnsi="Calibri"/>
                <w:sz w:val="18"/>
                <w:szCs w:val="18"/>
              </w:rPr>
              <w:t xml:space="preserve">Higher-rated instructors draw more enrolments</w:t>
            </w:r>
          </w:p>
        </w:tc>
      </w:tr>
    </w:tbl>
    <w:p>
      <w:pPr>
        <w:spacing w:after="120" w:before="200"/>
      </w:pPr>
    </w:p>
    <w:p>
      <w:pPr>
        <w:pStyle w:val="Heading1"/>
      </w:pPr>
      <w:r>
        <w:t xml:space="preserve">Recommended Actions</w:t>
      </w:r>
    </w:p>
    <w:p>
      <w:pPr>
        <w:spacing w:after="60"/>
      </w:pPr>
      <w:r>
        <w:rPr>
          <w:rFonts w:ascii="Calibri" w:cs="Calibri" w:eastAsia="Calibri" w:hAnsi="Calibri"/>
          <w:sz w:val="22"/>
          <w:szCs w:val="22"/>
        </w:rPr>
        <w:t xml:space="preserve">1. Recruit more instructors in Marketing and Programming (currently one each).</w:t>
      </w:r>
    </w:p>
    <w:p>
      <w:pPr>
        <w:spacing w:after="60"/>
      </w:pPr>
      <w:r>
        <w:rPr>
          <w:rFonts w:ascii="Calibri" w:cs="Calibri" w:eastAsia="Calibri" w:hAnsi="Calibri"/>
          <w:sz w:val="22"/>
          <w:szCs w:val="22"/>
        </w:rPr>
        <w:t xml:space="preserve">2. Launch mentoring programmes pairing high-rated senior instructors with junior staff.</w:t>
      </w:r>
    </w:p>
    <w:p>
      <w:pPr>
        <w:spacing w:after="60"/>
      </w:pPr>
      <w:r>
        <w:rPr>
          <w:rFonts w:ascii="Calibri" w:cs="Calibri" w:eastAsia="Calibri" w:hAnsi="Calibri"/>
          <w:sz w:val="22"/>
          <w:szCs w:val="22"/>
        </w:rPr>
        <w:t xml:space="preserve">3. Invest in course-design training; instructor rating alone does not guarantee course quality.</w:t>
      </w:r>
    </w:p>
    <w:p>
      <w:pPr>
        <w:spacing w:after="60"/>
      </w:pPr>
      <w:r>
        <w:rPr>
          <w:rFonts w:ascii="Calibri" w:cs="Calibri" w:eastAsia="Calibri" w:hAnsi="Calibri"/>
          <w:sz w:val="22"/>
          <w:szCs w:val="22"/>
        </w:rPr>
        <w:t xml:space="preserve">4. Prioritise quality reviews for Machine Learning and Cybersecurity courses.</w:t>
      </w:r>
    </w:p>
    <w:p>
      <w:pPr>
        <w:spacing w:after="60"/>
      </w:pPr>
      <w:r>
        <w:rPr>
          <w:rFonts w:ascii="Calibri" w:cs="Calibri" w:eastAsia="Calibri" w:hAnsi="Calibri"/>
          <w:sz w:val="22"/>
          <w:szCs w:val="22"/>
        </w:rPr>
        <w:t xml:space="preserve">5. Feature top-performing instructors prominently on the platform to boost enrolments.</w:t>
      </w:r>
    </w:p>
    <w:p>
      <w:pPr>
        <w:spacing w:after="60"/>
      </w:pPr>
      <w:r>
        <w:rPr>
          <w:rFonts w:ascii="Calibri" w:cs="Calibri" w:eastAsia="Calibri" w:hAnsi="Calibri"/>
          <w:sz w:val="22"/>
          <w:szCs w:val="22"/>
        </w:rPr>
        <w:t xml:space="preserve">6. Expand the Artificial Intelligence offering with additional instructors and courses.</w:t>
      </w:r>
    </w:p>
    <w:p>
      <w:pPr>
        <w:spacing w:after="160"/>
      </w:pPr>
      <w:r>
        <w:rPr>
          <w:rFonts w:ascii="Calibri" w:cs="Calibri" w:eastAsia="Calibri" w:hAnsi="Calibri"/>
          <w:sz w:val="22"/>
          <w:szCs w:val="22"/>
        </w:rPr>
        <w:t xml:space="preserve">7. Track the Rating Consistency Index by category and set continuous-improvement targets.</w:t>
      </w:r>
    </w:p>
    <w:p>
      <w:pPr>
        <w:pStyle w:val="Heading1"/>
      </w:pPr>
      <w:r>
        <w:t xml:space="preserve">Deliverables Provided</w:t>
      </w:r>
    </w:p>
    <w:p>
      <w:pPr>
        <w:spacing w:after="60"/>
      </w:pPr>
      <w:r>
        <w:rPr>
          <w:rFonts w:ascii="Calibri" w:cs="Calibri" w:eastAsia="Calibri" w:hAnsi="Calibri"/>
          <w:sz w:val="22"/>
          <w:szCs w:val="22"/>
        </w:rPr>
        <w:t xml:space="preserve">• Research Paper – full EDA, insights and detailed recommendations</w:t>
      </w:r>
    </w:p>
    <w:p>
      <w:pPr>
        <w:spacing w:after="60"/>
      </w:pPr>
      <w:r>
        <w:rPr>
          <w:rFonts w:ascii="Calibri" w:cs="Calibri" w:eastAsia="Calibri" w:hAnsi="Calibri"/>
          <w:sz w:val="22"/>
          <w:szCs w:val="22"/>
        </w:rPr>
        <w:t xml:space="preserve">• Streamlit Dashboard – interactive leaderboard, scatter plots, heatmaps and filters</w:t>
      </w:r>
    </w:p>
    <w:p>
      <w:pPr>
        <w:spacing w:after="160"/>
      </w:pPr>
      <w:r>
        <w:rPr>
          <w:rFonts w:ascii="Calibri" w:cs="Calibri" w:eastAsia="Calibri" w:hAnsi="Calibri"/>
          <w:sz w:val="22"/>
          <w:szCs w:val="22"/>
        </w:rPr>
        <w:t xml:space="preserve">• This Executive Summary – concise briefing for government and platform stakeholders</w:t>
      </w:r>
    </w:p>
    <w:p>
      <w:pPr>
        <w:pStyle w:val="Heading1"/>
      </w:pPr>
      <w:r>
        <w:t xml:space="preserve">Closing Statement</w:t>
      </w:r>
    </w:p>
    <w:p>
      <w:pPr>
        <w:spacing w:after="160"/>
      </w:pPr>
      <w:r>
        <w:rPr>
          <w:rFonts w:ascii="Calibri" w:cs="Calibri" w:eastAsia="Calibri" w:hAnsi="Calibri"/>
          <w:sz w:val="22"/>
          <w:szCs w:val="22"/>
        </w:rPr>
        <w:t xml:space="preserve">By adopting this data-driven framework, EduPro can move from subjective instructor evaluation to objective, repeatable measurement of teaching effectiveness. The result will be clearer identification of excellence, faster remediation of gaps, and stronger educational outcomes for learners.</w:t>
      </w:r>
    </w:p>
    <w:p>
      <w:pPr>
        <w:spacing w:after="80"/>
      </w:pPr>
      <w:r>
        <w:rPr>
          <w:rFonts w:ascii="Calibri" w:cs="Calibri" w:eastAsia="Calibri" w:hAnsi="Calibri"/>
          <w:i/>
          <w:iCs/>
          <w:color w:val="666666"/>
          <w:sz w:val="20"/>
          <w:szCs w:val="20"/>
        </w:rPr>
        <w:t xml:space="preserve">Prepared for EduPro leadership and relevant government education stakeholders.</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Confidential – EduPro Platform Evaluation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666666"/>
        <w:sz w:val="18"/>
        <w:szCs w:val="18"/>
      </w:rPr>
      <w:t xml:space="preserve">EduPro – Executive Summary for Stakeholders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Calibri" w:cs="Calibri" w:eastAsia="Calibri" w:hAnsi="Calibri"/>
      <w:b/>
      <w:bCs/>
      <w:color w:val="1F4E79"/>
      <w:sz w:val="26"/>
      <w:szCs w:val="26"/>
    </w:rPr>
  </w:style>
  <w:style w:type="paragraph" w:styleId="Heading2">
    <w:name w:val="Heading 2"/>
    <w:basedOn w:val="Normal"/>
    <w:next w:val="Normal"/>
    <w:pPr>
      <w:spacing w:after="120" w:before="20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2026-10-29T12:13:20.627Z</dcterms:created>
  <dcterms:modified xsi:type="dcterms:W3CDTF">2026-10-29T12:13:20.627Z</dcterms:modified>
</cp:coreProperties>
</file>

<file path=docProps/custom.xml><?xml version="1.0" encoding="utf-8"?>
<Properties xmlns="http://schemas.openxmlformats.org/officeDocument/2006/custom-properties" xmlns:vt="http://schemas.openxmlformats.org/officeDocument/2006/docPropsVTypes"/>
</file>