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9"/>
          <w:sz w:val="36"/>
          <w:szCs w:val="36"/>
        </w:rPr>
        <w:t xml:space="preserve">Instructor Performance and Course Quality</w:t>
      </w:r>
    </w:p>
    <w:p>
      <w:pPr>
        <w:spacing w:after="80"/>
        <w:jc w:val="center"/>
      </w:pPr>
      <w:r>
        <w:rPr>
          <w:rFonts w:ascii="Calibri" w:cs="Calibri" w:eastAsia="Calibri" w:hAnsi="Calibri"/>
          <w:b/>
          <w:bCs/>
          <w:color w:val="1F4E79"/>
          <w:sz w:val="36"/>
          <w:szCs w:val="36"/>
        </w:rPr>
        <w:t xml:space="preserve">Evaluation on EduPro</w:t>
      </w:r>
    </w:p>
    <w:p>
      <w:pPr>
        <w:spacing w:after="200"/>
        <w:jc w:val="center"/>
      </w:pPr>
      <w:r>
        <w:rPr>
          <w:rFonts w:ascii="Calibri" w:cs="Calibri" w:eastAsia="Calibri" w:hAnsi="Calibri"/>
          <w:color w:val="666666"/>
          <w:sz w:val="22"/>
          <w:szCs w:val="22"/>
        </w:rPr>
        <w:t xml:space="preserve">Research Paper – Exploratory Data Analysis, Insights &amp; Recommendations</w:t>
      </w:r>
    </w:p>
    <w:p>
      <w:pPr>
        <w:spacing w:after="400"/>
        <w:jc w:val="center"/>
      </w:pPr>
      <w:r>
        <w:rPr>
          <w:rFonts w:ascii="Calibri" w:cs="Calibri" w:eastAsia="Calibri" w:hAnsi="Calibri"/>
          <w:i/>
          <w:iCs/>
          <w:sz w:val="20"/>
          <w:szCs w:val="20"/>
        </w:rPr>
        <w:t xml:space="preserve">Data-Driven Framework for Teaching Effectiveness on an Online Learning Platform</w:t>
      </w:r>
    </w:p>
    <w:p>
      <w:pPr>
        <w:pStyle w:val="Heading1"/>
      </w:pPr>
      <w:r>
        <w:t xml:space="preserve">1. Introduction</w:t>
      </w:r>
    </w:p>
    <w:p>
      <w:pPr>
        <w:spacing w:after="160"/>
      </w:pPr>
      <w:r>
        <w:rPr>
          <w:rFonts w:ascii="Calibri" w:cs="Calibri" w:eastAsia="Calibri" w:hAnsi="Calibri"/>
          <w:sz w:val="22"/>
          <w:szCs w:val="22"/>
        </w:rPr>
        <w:t xml:space="preserve">Learning is a lifelong process. In today’s fast-changing technology landscape, online learning platforms have become one of the most important ways for people to acquire new skills. Platforms such as Udemy, Coursera and EduPro offer thousands of courses taught by instructors from many different domains.</w:t>
      </w:r>
    </w:p>
    <w:p>
      <w:pPr>
        <w:spacing w:after="160"/>
      </w:pPr>
      <w:r>
        <w:rPr>
          <w:rFonts w:ascii="Calibri" w:cs="Calibri" w:eastAsia="Calibri" w:hAnsi="Calibri"/>
          <w:sz w:val="22"/>
          <w:szCs w:val="22"/>
        </w:rPr>
        <w:t xml:space="preserve">However, not every course or every instructor delivers the same quality. High-quality instructors and well-designed courses receive high ratings, attract more enrolments and build trust in the platform. Poor instructional quality leads to low ratings, negative reviews and reduced platform credibility.</w:t>
      </w:r>
    </w:p>
    <w:p>
      <w:pPr>
        <w:spacing w:after="160"/>
      </w:pPr>
      <w:r>
        <w:rPr>
          <w:rFonts w:ascii="Calibri" w:cs="Calibri" w:eastAsia="Calibri" w:hAnsi="Calibri"/>
          <w:sz w:val="22"/>
          <w:szCs w:val="22"/>
        </w:rPr>
        <w:t xml:space="preserve">EduPro currently lacks a clear, data-driven view of which instructors consistently deliver high-quality courses, whether teaching experience translates into better ratings, how performance is distributed across expertise areas, and whether some course categories depend more heavily on instructor quality. This research paper presents a structured analysis that answers these questions and provides actionable recommendations.</w:t>
      </w:r>
    </w:p>
    <w:p>
      <w:pPr>
        <w:pStyle w:val="Heading1"/>
      </w:pPr>
      <w:r>
        <w:t xml:space="preserve">2. Problem Statement</w:t>
      </w:r>
    </w:p>
    <w:p>
      <w:pPr>
        <w:spacing w:after="120"/>
      </w:pPr>
      <w:r>
        <w:rPr>
          <w:rFonts w:ascii="Calibri" w:cs="Calibri" w:eastAsia="Calibri" w:hAnsi="Calibri"/>
          <w:sz w:val="22"/>
          <w:szCs w:val="22"/>
        </w:rPr>
        <w:t xml:space="preserve">EduPro needs clarity on the following points:</w:t>
      </w:r>
    </w:p>
    <w:p>
      <w:pPr>
        <w:spacing w:after="80"/>
      </w:pPr>
      <w:r>
        <w:rPr>
          <w:rFonts w:ascii="Calibri" w:cs="Calibri" w:eastAsia="Calibri" w:hAnsi="Calibri"/>
          <w:sz w:val="22"/>
          <w:szCs w:val="22"/>
        </w:rPr>
        <w:t xml:space="preserve">• Which instructors consistently deliver high-quality courses?</w:t>
      </w:r>
    </w:p>
    <w:p>
      <w:pPr>
        <w:spacing w:after="80"/>
      </w:pPr>
      <w:r>
        <w:rPr>
          <w:rFonts w:ascii="Calibri" w:cs="Calibri" w:eastAsia="Calibri" w:hAnsi="Calibri"/>
          <w:sz w:val="22"/>
          <w:szCs w:val="22"/>
        </w:rPr>
        <w:t xml:space="preserve">• Does teaching experience translate into better-rated courses?</w:t>
      </w:r>
    </w:p>
    <w:p>
      <w:pPr>
        <w:spacing w:after="80"/>
      </w:pPr>
      <w:r>
        <w:rPr>
          <w:rFonts w:ascii="Calibri" w:cs="Calibri" w:eastAsia="Calibri" w:hAnsi="Calibri"/>
          <w:sz w:val="22"/>
          <w:szCs w:val="22"/>
        </w:rPr>
        <w:t xml:space="preserve">• Are some course categories more dependent on instructor quality?</w:t>
      </w:r>
    </w:p>
    <w:p>
      <w:pPr>
        <w:spacing w:after="160"/>
      </w:pPr>
      <w:r>
        <w:rPr>
          <w:rFonts w:ascii="Calibri" w:cs="Calibri" w:eastAsia="Calibri" w:hAnsi="Calibri"/>
          <w:sz w:val="22"/>
          <w:szCs w:val="22"/>
        </w:rPr>
        <w:t xml:space="preserve">• How evenly is teaching performance distributed across the platform?</w:t>
      </w:r>
    </w:p>
    <w:p>
      <w:pPr>
        <w:spacing w:after="160"/>
      </w:pPr>
      <w:r>
        <w:rPr>
          <w:rFonts w:ascii="Calibri" w:cs="Calibri" w:eastAsia="Calibri" w:hAnsi="Calibri"/>
          <w:sz w:val="22"/>
          <w:szCs w:val="22"/>
        </w:rPr>
        <w:t xml:space="preserve">Without structured analysis, instructor evaluation remains subjective and fragmented. This project builds a data-driven framework focused on teaching effectiveness rather than only on learner behaviour.</w:t>
      </w:r>
    </w:p>
    <w:p>
      <w:pPr>
        <w:pStyle w:val="Heading1"/>
      </w:pPr>
      <w:r>
        <w:t xml:space="preserve">3. Dataset Description</w:t>
      </w:r>
    </w:p>
    <w:p>
      <w:pPr>
        <w:spacing w:after="120"/>
      </w:pPr>
      <w:r>
        <w:rPr>
          <w:rFonts w:ascii="Calibri" w:cs="Calibri" w:eastAsia="Calibri" w:hAnsi="Calibri"/>
          <w:sz w:val="22"/>
          <w:szCs w:val="22"/>
        </w:rPr>
        <w:t xml:space="preserve">Four datasets were provided by EduPro:</w:t>
      </w:r>
    </w:p>
    <w:p>
      <w:pPr>
        <w:spacing w:after="80"/>
      </w:pPr>
      <w:r>
        <w:rPr>
          <w:rFonts w:ascii="Calibri" w:cs="Calibri" w:eastAsia="Calibri" w:hAnsi="Calibri"/>
          <w:sz w:val="22"/>
          <w:szCs w:val="22"/>
        </w:rPr>
        <w:t xml:space="preserve">• Teachers (60 records): TeacherID, TeacherName, Age, Gender, Expertise, YearsOfExperience, TeacherRating</w:t>
      </w:r>
    </w:p>
    <w:p>
      <w:pPr>
        <w:spacing w:after="80"/>
      </w:pPr>
      <w:r>
        <w:rPr>
          <w:rFonts w:ascii="Calibri" w:cs="Calibri" w:eastAsia="Calibri" w:hAnsi="Calibri"/>
          <w:sz w:val="22"/>
          <w:szCs w:val="22"/>
        </w:rPr>
        <w:t xml:space="preserve">• Courses (60 records): CourseID, CourseName, CourseCategory, CourseType, CourseLevel, CoursePrice, CourseDuration, CourseRating</w:t>
      </w:r>
    </w:p>
    <w:p>
      <w:pPr>
        <w:spacing w:after="80"/>
      </w:pPr>
      <w:r>
        <w:rPr>
          <w:rFonts w:ascii="Calibri" w:cs="Calibri" w:eastAsia="Calibri" w:hAnsi="Calibri"/>
          <w:sz w:val="22"/>
          <w:szCs w:val="22"/>
        </w:rPr>
        <w:t xml:space="preserve">• Transactions (10,000 records): TransactionID, UserID, CourseID, TransactionDate, Amount, PaymentMethod, TeacherID</w:t>
      </w:r>
    </w:p>
    <w:p>
      <w:pPr>
        <w:spacing w:after="160"/>
      </w:pPr>
      <w:r>
        <w:rPr>
          <w:rFonts w:ascii="Calibri" w:cs="Calibri" w:eastAsia="Calibri" w:hAnsi="Calibri"/>
          <w:sz w:val="22"/>
          <w:szCs w:val="22"/>
        </w:rPr>
        <w:t xml:space="preserve">• Users (3,000 records): UserID, UserName, Age, Gender, Email</w:t>
      </w:r>
    </w:p>
    <w:p>
      <w:pPr>
        <w:spacing w:after="160"/>
      </w:pPr>
      <w:r>
        <w:rPr>
          <w:rFonts w:ascii="Calibri" w:cs="Calibri" w:eastAsia="Calibri" w:hAnsi="Calibri"/>
          <w:sz w:val="22"/>
          <w:szCs w:val="22"/>
        </w:rPr>
        <w:t xml:space="preserve">The three main tables (Teachers, Courses, Transactions) were joined using TeacherID and CourseID to create a single analysis-ready dataset. No missing values or duplicate instructor profiles were found after validation.</w:t>
      </w:r>
    </w:p>
    <w:p>
      <w:pPr>
        <w:pStyle w:val="Heading1"/>
      </w:pPr>
      <w:r>
        <w:t xml:space="preserve">4. Key Analytical Questions</w:t>
      </w:r>
    </w:p>
    <w:p>
      <w:pPr>
        <w:spacing w:after="80"/>
      </w:pPr>
      <w:r>
        <w:rPr>
          <w:rFonts w:ascii="Calibri" w:cs="Calibri" w:eastAsia="Calibri" w:hAnsi="Calibri"/>
          <w:sz w:val="22"/>
          <w:szCs w:val="22"/>
        </w:rPr>
        <w:t xml:space="preserve">1. What is the overall distribution of instructor ratings?</w:t>
      </w:r>
    </w:p>
    <w:p>
      <w:pPr>
        <w:spacing w:after="80"/>
      </w:pPr>
      <w:r>
        <w:rPr>
          <w:rFonts w:ascii="Calibri" w:cs="Calibri" w:eastAsia="Calibri" w:hAnsi="Calibri"/>
          <w:sz w:val="22"/>
          <w:szCs w:val="22"/>
        </w:rPr>
        <w:t xml:space="preserve">2. Do instructors with more experience receive higher ratings?</w:t>
      </w:r>
    </w:p>
    <w:p>
      <w:pPr>
        <w:spacing w:after="80"/>
      </w:pPr>
      <w:r>
        <w:rPr>
          <w:rFonts w:ascii="Calibri" w:cs="Calibri" w:eastAsia="Calibri" w:hAnsi="Calibri"/>
          <w:sz w:val="22"/>
          <w:szCs w:val="22"/>
        </w:rPr>
        <w:t xml:space="preserve">3. Is there a relationship between TeacherRating and CourseRating?</w:t>
      </w:r>
    </w:p>
    <w:p>
      <w:pPr>
        <w:spacing w:after="80"/>
      </w:pPr>
      <w:r>
        <w:rPr>
          <w:rFonts w:ascii="Calibri" w:cs="Calibri" w:eastAsia="Calibri" w:hAnsi="Calibri"/>
          <w:sz w:val="22"/>
          <w:szCs w:val="22"/>
        </w:rPr>
        <w:t xml:space="preserve">4. Which expertise areas consistently deliver high-quality courses?</w:t>
      </w:r>
    </w:p>
    <w:p>
      <w:pPr>
        <w:spacing w:after="160"/>
      </w:pPr>
      <w:r>
        <w:rPr>
          <w:rFonts w:ascii="Calibri" w:cs="Calibri" w:eastAsia="Calibri" w:hAnsi="Calibri"/>
          <w:sz w:val="22"/>
          <w:szCs w:val="22"/>
        </w:rPr>
        <w:t xml:space="preserve">5. Are highly rated instructors associated with higher enrolments?</w:t>
      </w:r>
    </w:p>
    <w:p>
      <w:pPr>
        <w:pStyle w:val="Heading1"/>
      </w:pPr>
      <w:r>
        <w:t xml:space="preserve">5. Analytical Methodology</w:t>
      </w:r>
    </w:p>
    <w:p>
      <w:pPr>
        <w:pStyle w:val="Heading2"/>
      </w:pPr>
      <w:r>
        <w:t xml:space="preserve">5.1 Data Integration</w:t>
      </w:r>
    </w:p>
    <w:p>
      <w:pPr>
        <w:spacing w:after="160"/>
      </w:pPr>
      <w:r>
        <w:rPr>
          <w:rFonts w:ascii="Calibri" w:cs="Calibri" w:eastAsia="Calibri" w:hAnsi="Calibri"/>
          <w:sz w:val="22"/>
          <w:szCs w:val="22"/>
        </w:rPr>
        <w:t xml:space="preserve">Teachers were joined to Transactions on TeacherID, then the result was joined to Courses on CourseID. This produced a unified table linking every enrolment to the instructor and the course. Mapping between instructors and courses was validated; all 60 instructors and 60 courses appear in the transaction data.</w:t>
      </w:r>
    </w:p>
    <w:p>
      <w:pPr>
        <w:pStyle w:val="Heading2"/>
      </w:pPr>
      <w:r>
        <w:t xml:space="preserve">5.2 Instructor Profile Analysis</w:t>
      </w:r>
    </w:p>
    <w:p>
      <w:pPr>
        <w:spacing w:after="160"/>
      </w:pPr>
      <w:r>
        <w:rPr>
          <w:rFonts w:ascii="Calibri" w:cs="Calibri" w:eastAsia="Calibri" w:hAnsi="Calibri"/>
          <w:sz w:val="22"/>
          <w:szCs w:val="22"/>
        </w:rPr>
        <w:t xml:space="preserve">Distribution of age, years of experience, expertise and teacher rating was examined. Top performers (above 90th percentile) and low performers (below 10th percentile) were identified.</w:t>
      </w:r>
    </w:p>
    <w:p>
      <w:pPr>
        <w:pStyle w:val="Heading2"/>
      </w:pPr>
      <w:r>
        <w:t xml:space="preserve">5.3 Experience vs Performance</w:t>
      </w:r>
    </w:p>
    <w:p>
      <w:pPr>
        <w:spacing w:after="160"/>
      </w:pPr>
      <w:r>
        <w:rPr>
          <w:rFonts w:ascii="Calibri" w:cs="Calibri" w:eastAsia="Calibri" w:hAnsi="Calibri"/>
          <w:sz w:val="22"/>
          <w:szCs w:val="22"/>
        </w:rPr>
        <w:t xml:space="preserve">Correlation between YearsOfExperience and TeacherRating, and between YearsOfExperience and CourseRating, was calculated. Scatter plots and line plots were used to visualise possible thresholds or diminishing returns.</w:t>
      </w:r>
    </w:p>
    <w:p>
      <w:pPr>
        <w:pStyle w:val="Heading2"/>
      </w:pPr>
      <w:r>
        <w:t xml:space="preserve">5.4 Course Quality Evaluation</w:t>
      </w:r>
    </w:p>
    <w:p>
      <w:pPr>
        <w:spacing w:after="160"/>
      </w:pPr>
      <w:r>
        <w:rPr>
          <w:rFonts w:ascii="Calibri" w:cs="Calibri" w:eastAsia="Calibri" w:hAnsi="Calibri"/>
          <w:sz w:val="22"/>
          <w:szCs w:val="22"/>
        </w:rPr>
        <w:t xml:space="preserve">CourseRating was analysed by CourseCategory and CourseLevel. Rating Consistency Index (standard deviation of ratings within each group) was computed. Gender and course-level patterns were also reviewed.</w:t>
      </w:r>
    </w:p>
    <w:p>
      <w:pPr>
        <w:pStyle w:val="Heading2"/>
      </w:pPr>
      <w:r>
        <w:t xml:space="preserve">5.5 Instructor Impact on Course Success</w:t>
      </w:r>
    </w:p>
    <w:p>
      <w:pPr>
        <w:spacing w:after="160"/>
      </w:pPr>
      <w:r>
        <w:rPr>
          <w:rFonts w:ascii="Calibri" w:cs="Calibri" w:eastAsia="Calibri" w:hAnsi="Calibri"/>
          <w:sz w:val="22"/>
          <w:szCs w:val="22"/>
        </w:rPr>
        <w:t xml:space="preserve">Instructors were grouped into High (≥4.0), Mid (2.0–3.99) and Low (&lt;2.0) rating tiers. Average enrolments and course ratings were compared across tiers. Enrolment Influence Ratio (correlation between teacher rating and number of enrolments) was calculated.</w:t>
      </w:r>
    </w:p>
    <w:p>
      <w:pPr>
        <w:pStyle w:val="Heading2"/>
      </w:pPr>
      <w:r>
        <w:t xml:space="preserve">5.6 Expertise-Based Insights</w:t>
      </w:r>
    </w:p>
    <w:p>
      <w:pPr>
        <w:spacing w:after="160"/>
      </w:pPr>
      <w:r>
        <w:rPr>
          <w:rFonts w:ascii="Calibri" w:cs="Calibri" w:eastAsia="Calibri" w:hAnsi="Calibri"/>
          <w:sz w:val="22"/>
          <w:szCs w:val="22"/>
        </w:rPr>
        <w:t xml:space="preserve">Average teacher rating, rating consistency and enrolment influence were computed for each expertise domain. Domains with only one instructor or unusually high dependence on instructor quality were flagged as gaps.</w:t>
      </w:r>
    </w:p>
    <w:p>
      <w:pPr>
        <w:pStyle w:val="Heading1"/>
      </w:pPr>
      <w:r>
        <w:t xml:space="preserve">6.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1F4E79" w:val="clear"/>
          </w:tcPr>
          <w:p>
            <w:pPr>
              <w:jc w:val="center"/>
            </w:pPr>
            <w:r>
              <w:rPr>
                <w:rFonts w:ascii="Calibri" w:cs="Calibri" w:eastAsia="Calibri" w:hAnsi="Calibri"/>
                <w:b/>
                <w:bCs/>
                <w:color w:val="FFFFFF"/>
                <w:sz w:val="20"/>
                <w:szCs w:val="20"/>
              </w:rPr>
              <w:t xml:space="preserve">KPI Name</w:t>
            </w:r>
          </w:p>
        </w:tc>
        <w:tc>
          <w:tcPr>
            <w:tcW w:type="dxa" w:w="6560"/>
            <w:tcBorders>
              <w:top w:val="single" w:color="000000" w:sz="1"/>
              <w:left w:val="single" w:color="000000" w:sz="1"/>
              <w:bottom w:val="single" w:color="000000" w:sz="1"/>
              <w:right w:val="single" w:color="000000" w:sz="1"/>
            </w:tcBorders>
            <w:shd w:fill="1F4E79" w:val="clear"/>
          </w:tcPr>
          <w:p>
            <w:pPr>
              <w:jc w:val="center"/>
            </w:pPr>
            <w:r>
              <w:rPr>
                <w:rFonts w:ascii="Calibri" w:cs="Calibri" w:eastAsia="Calibri" w:hAnsi="Calibri"/>
                <w:b/>
                <w:bCs/>
                <w:color w:val="FFFFFF"/>
                <w:sz w:val="20"/>
                <w:szCs w:val="20"/>
              </w:rPr>
              <w:t xml:space="preserve">Description</w:t>
            </w:r>
          </w:p>
        </w:tc>
      </w:tr>
      <w:tr>
        <w:tc>
          <w:tcPr>
            <w:tcW w:type="dxa" w:w="280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Average Teacher Rating</w:t>
            </w:r>
          </w:p>
        </w:tc>
        <w:tc>
          <w:tcPr>
            <w:tcW w:type="dxa" w:w="656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Overall teaching quality benchmark across the platform</w:t>
            </w:r>
          </w:p>
        </w:tc>
      </w:tr>
      <w:tr>
        <w:tc>
          <w:tcPr>
            <w:tcW w:type="dxa" w:w="2800"/>
            <w:tcBorders>
              <w:top w:val="single" w:color="000000" w:sz="1"/>
              <w:left w:val="single" w:color="000000" w:sz="1"/>
              <w:bottom w:val="single" w:color="000000" w:sz="1"/>
              <w:right w:val="single" w:color="000000" w:sz="1"/>
            </w:tcBorders>
          </w:tcPr>
          <w:p>
            <w:r>
              <w:rPr>
                <w:rFonts w:ascii="Calibri" w:cs="Calibri" w:eastAsia="Calibri" w:hAnsi="Calibri"/>
                <w:sz w:val="18"/>
                <w:szCs w:val="18"/>
              </w:rPr>
              <w:t xml:space="preserve">Average Course Rating</w:t>
            </w:r>
          </w:p>
        </w:tc>
        <w:tc>
          <w:tcPr>
            <w:tcW w:type="dxa" w:w="6560"/>
            <w:tcBorders>
              <w:top w:val="single" w:color="000000" w:sz="1"/>
              <w:left w:val="single" w:color="000000" w:sz="1"/>
              <w:bottom w:val="single" w:color="000000" w:sz="1"/>
              <w:right w:val="single" w:color="000000" w:sz="1"/>
            </w:tcBorders>
          </w:tcPr>
          <w:p>
            <w:r>
              <w:rPr>
                <w:rFonts w:ascii="Calibri" w:cs="Calibri" w:eastAsia="Calibri" w:hAnsi="Calibri"/>
                <w:sz w:val="18"/>
                <w:szCs w:val="18"/>
              </w:rPr>
              <w:t xml:space="preserve">Overall content effectiveness and learner satisfaction with courses</w:t>
            </w:r>
          </w:p>
        </w:tc>
      </w:tr>
      <w:tr>
        <w:tc>
          <w:tcPr>
            <w:tcW w:type="dxa" w:w="280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Rating Consistency Index</w:t>
            </w:r>
          </w:p>
        </w:tc>
        <w:tc>
          <w:tcPr>
            <w:tcW w:type="dxa" w:w="656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Standard deviation of ratings – lower value means more consistent quality</w:t>
            </w:r>
          </w:p>
        </w:tc>
      </w:tr>
      <w:tr>
        <w:tc>
          <w:tcPr>
            <w:tcW w:type="dxa" w:w="2800"/>
            <w:tcBorders>
              <w:top w:val="single" w:color="000000" w:sz="1"/>
              <w:left w:val="single" w:color="000000" w:sz="1"/>
              <w:bottom w:val="single" w:color="000000" w:sz="1"/>
              <w:right w:val="single" w:color="000000" w:sz="1"/>
            </w:tcBorders>
          </w:tcPr>
          <w:p>
            <w:r>
              <w:rPr>
                <w:rFonts w:ascii="Calibri" w:cs="Calibri" w:eastAsia="Calibri" w:hAnsi="Calibri"/>
                <w:sz w:val="18"/>
                <w:szCs w:val="18"/>
              </w:rPr>
              <w:t xml:space="preserve">Experience Impact Score</w:t>
            </w:r>
          </w:p>
        </w:tc>
        <w:tc>
          <w:tcPr>
            <w:tcW w:type="dxa" w:w="6560"/>
            <w:tcBorders>
              <w:top w:val="single" w:color="000000" w:sz="1"/>
              <w:left w:val="single" w:color="000000" w:sz="1"/>
              <w:bottom w:val="single" w:color="000000" w:sz="1"/>
              <w:right w:val="single" w:color="000000" w:sz="1"/>
            </w:tcBorders>
          </w:tcPr>
          <w:p>
            <w:r>
              <w:rPr>
                <w:rFonts w:ascii="Calibri" w:cs="Calibri" w:eastAsia="Calibri" w:hAnsi="Calibri"/>
                <w:sz w:val="18"/>
                <w:szCs w:val="18"/>
              </w:rPr>
              <w:t xml:space="preserve">Correlation between years of experience and teacher rating</w:t>
            </w:r>
          </w:p>
        </w:tc>
      </w:tr>
      <w:tr>
        <w:tc>
          <w:tcPr>
            <w:tcW w:type="dxa" w:w="280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Enrolment Influence Ratio</w:t>
            </w:r>
          </w:p>
        </w:tc>
        <w:tc>
          <w:tcPr>
            <w:tcW w:type="dxa" w:w="656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Correlation between teacher rating and number of enrolments</w:t>
            </w:r>
          </w:p>
        </w:tc>
      </w:tr>
    </w:tbl>
    <w:p>
      <w:pPr>
        <w:spacing w:after="160" w:before="200"/>
      </w:pPr>
    </w:p>
    <w:p>
      <w:pPr>
        <w:pStyle w:val="Heading1"/>
      </w:pPr>
      <w:r>
        <w:t xml:space="preserve">7. Results and Insights</w:t>
      </w:r>
    </w:p>
    <w:p>
      <w:pPr>
        <w:pStyle w:val="Heading2"/>
      </w:pPr>
      <w:r>
        <w:t xml:space="preserve">7.1 Overall Distribution of Instructor Ratings</w:t>
      </w:r>
    </w:p>
    <w:p>
      <w:pPr>
        <w:spacing w:after="160"/>
      </w:pPr>
      <w:r>
        <w:rPr>
          <w:rFonts w:ascii="Calibri" w:cs="Calibri" w:eastAsia="Calibri" w:hAnsi="Calibri"/>
          <w:sz w:val="22"/>
          <w:szCs w:val="22"/>
        </w:rPr>
        <w:t xml:space="preserve">Teacher ratings range from 1.05 to 4.97. The average teacher rating is approximately 3.12. The distribution is relatively spread out, indicating that teaching quality is not uniform across the platform. A noticeable number of instructors fall into both the high-performing and low-performing ends of the scale.</w:t>
      </w:r>
    </w:p>
    <w:p>
      <w:pPr>
        <w:pStyle w:val="Heading2"/>
      </w:pPr>
      <w:r>
        <w:t xml:space="preserve">7.2 Experience vs Teacher Rating</w:t>
      </w:r>
    </w:p>
    <w:p>
      <w:pPr>
        <w:spacing w:after="160"/>
      </w:pPr>
      <w:r>
        <w:rPr>
          <w:rFonts w:ascii="Calibri" w:cs="Calibri" w:eastAsia="Calibri" w:hAnsi="Calibri"/>
          <w:sz w:val="22"/>
          <w:szCs w:val="22"/>
        </w:rPr>
        <w:t xml:space="preserve">There is a moderate positive correlation (approximately 0.60) between Years of Experience and Teacher Rating. Instructors with more years of teaching tend to receive higher ratings. However, the relationship is not perfect: some highly experienced instructors still have mid-range ratings, and a few less-experienced instructors achieve high ratings. This suggests that experience helps, but other factors (pedagogy, course design, communication) also matter.</w:t>
      </w:r>
    </w:p>
    <w:p>
      <w:pPr>
        <w:spacing w:after="160"/>
      </w:pPr>
      <w:r>
        <w:rPr>
          <w:rFonts w:ascii="Calibri" w:cs="Calibri" w:eastAsia="Calibri" w:hAnsi="Calibri"/>
          <w:sz w:val="22"/>
          <w:szCs w:val="22"/>
        </w:rPr>
        <w:t xml:space="preserve">When the same experience variable is compared with Course Rating, the correlation drops close to zero. This indicates that years of experience alone do not guarantee higher course ratings.</w:t>
      </w:r>
    </w:p>
    <w:p>
      <w:pPr>
        <w:pStyle w:val="Heading2"/>
      </w:pPr>
      <w:r>
        <w:t xml:space="preserve">7.3 Relationship between TeacherRating and CourseRating</w:t>
      </w:r>
    </w:p>
    <w:p>
      <w:pPr>
        <w:spacing w:after="160"/>
      </w:pPr>
      <w:r>
        <w:rPr>
          <w:rFonts w:ascii="Calibri" w:cs="Calibri" w:eastAsia="Calibri" w:hAnsi="Calibri"/>
          <w:sz w:val="22"/>
          <w:szCs w:val="22"/>
        </w:rPr>
        <w:t xml:space="preserve">The correlation between TeacherRating and CourseRating is very weak (approximately –0.03). Scatter plots show that courses of any rating can be taught by instructors of any rating. In other words, a highly rated instructor does not automatically produce a highly rated course, and a low-rated instructor does not always produce a low-rated course. Course design, content quality and learner experience play independent roles.</w:t>
      </w:r>
    </w:p>
    <w:p>
      <w:pPr>
        <w:pStyle w:val="Heading2"/>
      </w:pPr>
      <w:r>
        <w:t xml:space="preserve">7.4 Course Quality by Category and Level</w:t>
      </w:r>
    </w:p>
    <w:p>
      <w:pPr>
        <w:spacing w:after="120"/>
      </w:pPr>
      <w:r>
        <w:rPr>
          <w:rFonts w:ascii="Calibri" w:cs="Calibri" w:eastAsia="Calibri" w:hAnsi="Calibri"/>
          <w:sz w:val="22"/>
          <w:szCs w:val="22"/>
        </w:rPr>
        <w:t xml:space="preserve">Average course ratings vary by category. Marketing and Digital Marketing tend to show higher average ratings, while Machine Learning and Business show lower averages. Across course levels (Beginner, Intermediate, Advanced), differences exist but are not extreme. The Rating Consistency Index (standard deviation within each category) remains relatively high for most categories, meaning quality is uneven even inside the same subject area.</w:t>
      </w:r>
    </w:p>
    <w:p>
      <w:pPr>
        <w:pStyle w:val="Heading2"/>
      </w:pPr>
      <w:r>
        <w:t xml:space="preserve">7.5 Instructor Impact on Enrolments</w:t>
      </w:r>
    </w:p>
    <w:p>
      <w:pPr>
        <w:spacing w:after="160"/>
      </w:pPr>
      <w:r>
        <w:rPr>
          <w:rFonts w:ascii="Calibri" w:cs="Calibri" w:eastAsia="Calibri" w:hAnsi="Calibri"/>
          <w:sz w:val="22"/>
          <w:szCs w:val="22"/>
        </w:rPr>
        <w:t xml:space="preserve">When instructors are grouped into High (≥4.0), Mid (2.0–3.99) and Low (&lt;2.0) tiers, high-tier instructors generally attract more enrolments on average. A small number of high-rated instructors account for a large share of total enrolments. This supports the idea that instructor reputation influences learner choice.</w:t>
      </w:r>
    </w:p>
    <w:p>
      <w:pPr>
        <w:pStyle w:val="Heading2"/>
      </w:pPr>
      <w:r>
        <w:t xml:space="preserve">7.6 Expertise-Based Performance</w:t>
      </w:r>
    </w:p>
    <w:p>
      <w:pPr>
        <w:spacing w:after="120"/>
      </w:pPr>
      <w:r>
        <w:rPr>
          <w:rFonts w:ascii="Calibri" w:cs="Calibri" w:eastAsia="Calibri" w:hAnsi="Calibri"/>
          <w:sz w:val="22"/>
          <w:szCs w:val="22"/>
        </w:rPr>
        <w:t xml:space="preserve">Digital Marketing has the largest number of instructors (11), followed by Cybersecurity (9). Marketing and Programming have only one instructor each – a clear staffing gap. Machine Learning and Cybersecurity show stronger links between instructor quality and outcomes, making teaching quality especially critical in these domains. Artificial Intelligence shows some counter-intuitive enrolment patterns that deserve further investigation.</w:t>
      </w:r>
    </w:p>
    <w:p>
      <w:pPr>
        <w:pStyle w:val="Heading1"/>
      </w:pPr>
      <w:r>
        <w:t xml:space="preserve">8. Recommendations</w:t>
      </w:r>
    </w:p>
    <w:p>
      <w:pPr>
        <w:spacing w:after="80"/>
      </w:pPr>
      <w:r>
        <w:rPr>
          <w:rFonts w:ascii="Calibri" w:cs="Calibri" w:eastAsia="Calibri" w:hAnsi="Calibri"/>
          <w:sz w:val="22"/>
          <w:szCs w:val="22"/>
        </w:rPr>
        <w:t xml:space="preserve">1. Hire additional instructors in Marketing and Programming, which currently have only one instructor each.</w:t>
      </w:r>
    </w:p>
    <w:p>
      <w:pPr>
        <w:spacing w:after="80"/>
      </w:pPr>
      <w:r>
        <w:rPr>
          <w:rFonts w:ascii="Calibri" w:cs="Calibri" w:eastAsia="Calibri" w:hAnsi="Calibri"/>
          <w:sz w:val="22"/>
          <w:szCs w:val="22"/>
        </w:rPr>
        <w:t xml:space="preserve">2. Create mentoring programmes that pair highly experienced, high-rated instructors with junior instructors to transfer teaching best practices.</w:t>
      </w:r>
    </w:p>
    <w:p>
      <w:pPr>
        <w:spacing w:after="80"/>
      </w:pPr>
      <w:r>
        <w:rPr>
          <w:rFonts w:ascii="Calibri" w:cs="Calibri" w:eastAsia="Calibri" w:hAnsi="Calibri"/>
          <w:sz w:val="22"/>
          <w:szCs w:val="22"/>
        </w:rPr>
        <w:t xml:space="preserve">3. Invest in course-design training, because teacher rating alone does not guarantee high course ratings.</w:t>
      </w:r>
    </w:p>
    <w:p>
      <w:pPr>
        <w:spacing w:after="80"/>
      </w:pPr>
      <w:r>
        <w:rPr>
          <w:rFonts w:ascii="Calibri" w:cs="Calibri" w:eastAsia="Calibri" w:hAnsi="Calibri"/>
          <w:sz w:val="22"/>
          <w:szCs w:val="22"/>
        </w:rPr>
        <w:t xml:space="preserve">4. Prioritise quality-assurance reviews for Machine Learning and Cybersecurity courses, where instructor quality has the strongest impact.</w:t>
      </w:r>
    </w:p>
    <w:p>
      <w:pPr>
        <w:spacing w:after="80"/>
      </w:pPr>
      <w:r>
        <w:rPr>
          <w:rFonts w:ascii="Calibri" w:cs="Calibri" w:eastAsia="Calibri" w:hAnsi="Calibri"/>
          <w:sz w:val="22"/>
          <w:szCs w:val="22"/>
        </w:rPr>
        <w:t xml:space="preserve">5. Promote top-performing instructors on the platform homepage and in recommendation engines to increase enrolments.</w:t>
      </w:r>
    </w:p>
    <w:p>
      <w:pPr>
        <w:spacing w:after="80"/>
      </w:pPr>
      <w:r>
        <w:rPr>
          <w:rFonts w:ascii="Calibri" w:cs="Calibri" w:eastAsia="Calibri" w:hAnsi="Calibri"/>
          <w:sz w:val="22"/>
          <w:szCs w:val="22"/>
        </w:rPr>
        <w:t xml:space="preserve">6. Expand the Artificial Intelligence catalogue with more instructors and courses to match market demand.</w:t>
      </w:r>
    </w:p>
    <w:p>
      <w:pPr>
        <w:spacing w:after="160"/>
      </w:pPr>
      <w:r>
        <w:rPr>
          <w:rFonts w:ascii="Calibri" w:cs="Calibri" w:eastAsia="Calibri" w:hAnsi="Calibri"/>
          <w:sz w:val="22"/>
          <w:szCs w:val="22"/>
        </w:rPr>
        <w:t xml:space="preserve">7. Monitor the Rating Consistency Index regularly and set improvement targets for categories with high variation.</w:t>
      </w:r>
    </w:p>
    <w:p>
      <w:pPr>
        <w:pStyle w:val="Heading1"/>
      </w:pPr>
      <w:r>
        <w:t xml:space="preserve">9. Conclusion</w:t>
      </w:r>
    </w:p>
    <w:p>
      <w:pPr>
        <w:spacing w:after="160"/>
      </w:pPr>
      <w:r>
        <w:rPr>
          <w:rFonts w:ascii="Calibri" w:cs="Calibri" w:eastAsia="Calibri" w:hAnsi="Calibri"/>
          <w:sz w:val="22"/>
          <w:szCs w:val="22"/>
        </w:rPr>
        <w:t xml:space="preserve">This project establishes a data-driven instructor and course quality evaluation framework for EduPro. By shifting focus from learner metrics alone toward teaching effectiveness, the platform can identify excellence, address expertise gaps, and continuously improve educational outcomes.</w:t>
      </w:r>
    </w:p>
    <w:p>
      <w:pPr>
        <w:spacing w:after="160"/>
      </w:pPr>
      <w:r>
        <w:rPr>
          <w:rFonts w:ascii="Calibri" w:cs="Calibri" w:eastAsia="Calibri" w:hAnsi="Calibri"/>
          <w:sz w:val="22"/>
          <w:szCs w:val="22"/>
        </w:rPr>
        <w:t xml:space="preserve">Key takeaways: experience moderately improves teacher ratings; teacher rating and course rating are only weakly related; high-rated instructors attract more enrolments; and certain domains (Marketing, Programming, Machine Learning, Cybersecurity) require targeted attention.</w:t>
      </w:r>
    </w:p>
    <w:p>
      <w:pPr>
        <w:spacing w:after="160"/>
      </w:pPr>
      <w:r>
        <w:rPr>
          <w:rFonts w:ascii="Calibri" w:cs="Calibri" w:eastAsia="Calibri" w:hAnsi="Calibri"/>
          <w:sz w:val="22"/>
          <w:szCs w:val="22"/>
        </w:rPr>
        <w:t xml:space="preserve">The accompanying Streamlit dashboard allows stakeholders to explore these findings interactively through filters on expertise, category, level and rating range, supporting ongoing decision-making.</w:t>
      </w:r>
    </w:p>
    <w:p>
      <w:pPr>
        <w:pStyle w:val="Heading1"/>
      </w:pPr>
      <w:r>
        <w:t xml:space="preserve">10. Notes on Data and Tools</w:t>
      </w:r>
    </w:p>
    <w:p>
      <w:pPr>
        <w:spacing w:after="120"/>
      </w:pPr>
      <w:r>
        <w:rPr>
          <w:rFonts w:ascii="Calibri" w:cs="Calibri" w:eastAsia="Calibri" w:hAnsi="Calibri"/>
          <w:sz w:val="22"/>
          <w:szCs w:val="22"/>
        </w:rPr>
        <w:t xml:space="preserve">Analysis was performed using Python (pandas, matplotlib, seaborn). Interactive visualisation is provided via a Streamlit web application. All figures and KPI values can be reproduced from the provided CSV files and the analysis notebook.</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i/>
        <w:iCs/>
        <w:color w:val="666666"/>
        <w:sz w:val="18"/>
        <w:szCs w:val="18"/>
      </w:rPr>
      <w:t xml:space="preserve">EduPro – Instructor Performance &amp; Course Quality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Calibri" w:cs="Calibri" w:eastAsia="Calibri" w:hAnsi="Calibri"/>
      <w:b/>
      <w:bCs/>
      <w:color w:val="1F4E79"/>
      <w:sz w:val="28"/>
      <w:szCs w:val="28"/>
    </w:rPr>
  </w:style>
  <w:style w:type="paragraph" w:styleId="Heading2">
    <w:name w:val="Heading 2"/>
    <w:basedOn w:val="Normal"/>
    <w:next w:val="Normal"/>
    <w:pPr>
      <w:spacing w:after="160" w:before="280"/>
      <w:outlineLvl w:val="1"/>
    </w:pPr>
    <w:rPr>
      <w:rFonts w:ascii="Calibri" w:cs="Calibri" w:eastAsia="Calibri" w:hAnsi="Calibri"/>
      <w:b/>
      <w:bCs/>
      <w:color w:val="2E75B6"/>
      <w:sz w:val="24"/>
      <w:szCs w:val="24"/>
    </w:rPr>
  </w:style>
  <w:style w:type="paragraph" w:styleId="Heading3">
    <w:name w:val="Heading 3"/>
    <w:basedOn w:val="Normal"/>
    <w:next w:val="Normal"/>
    <w:pPr>
      <w:spacing w:after="120" w:before="200"/>
      <w:outlineLvl w:val="2"/>
    </w:pPr>
    <w:rPr>
      <w:rFonts w:ascii="Calibri" w:cs="Calibri" w:eastAsia="Calibri" w:hAnsi="Calibri"/>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2026-10-29T12:13:20.244Z</dcterms:created>
  <dcterms:modified xsi:type="dcterms:W3CDTF">2026-10-29T12:13:20.244Z</dcterms:modified>
</cp:coreProperties>
</file>

<file path=docProps/custom.xml><?xml version="1.0" encoding="utf-8"?>
<Properties xmlns="http://schemas.openxmlformats.org/officeDocument/2006/custom-properties" xmlns:vt="http://schemas.openxmlformats.org/officeDocument/2006/docPropsVTypes"/>
</file>