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3D5C"/>
          <w:sz w:val="36"/>
          <w:szCs w:val="36"/>
        </w:rPr>
        <w:t xml:space="preserve">Executive Summary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Predictive Forecasting of Care Load &amp; Placement Demand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For HHS / UAC Program Leadership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B3D5C"/>
          <w:sz w:val="32"/>
          <w:szCs w:val="32"/>
        </w:rPr>
        <w:t xml:space="preserve">Purpose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Provide short-term forecasts of children in HHS care and daily discharge demand, plus an early-warning signal when inflows threaten to outpace exits.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B3D5C"/>
          <w:sz w:val="32"/>
          <w:szCs w:val="32"/>
        </w:rPr>
        <w:t xml:space="preserve">What was built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Clean daily time series with lag, rolling, and calendar features.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Baseline models, ARIMA, exponential smoothing, Random Forest, and Gradient Boosting.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14-day forward forecasts and a net-pressure stress flag.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Interactive Streamlit dashboard and a static HTML dashboard.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B3D5C"/>
          <w:sz w:val="32"/>
          <w:szCs w:val="32"/>
        </w:rPr>
        <w:t xml:space="preserve">Key findings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On the long held-out test window, Exponential Smoothing had the lowest error for both care load and discharges.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Random Forest and Gradient Boosting are included as required machine-learning approaches; retrain them often when overall care-load levels change.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Near-term net pressure currently shows discharges keeping pace with transfers.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0B3D5C"/>
          <w:sz w:val="32"/>
          <w:szCs w:val="32"/>
        </w:rPr>
        <w:t xml:space="preserve">Operational recommendations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Use a 7–14 day forecast horizon for staffing and bed planning.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Refresh all models weekly, including Random Forest and Gradient Boosting.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 Treat consecutive days of positive net pressure as a trigger to pre-position staff and capacity.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work converts historical UAC reporting into actionable predictive intelligence so capacity decisions can be made before stress appears.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2026-10-16T11:51:44.929Z</dcterms:created>
  <dcterms:modified xsi:type="dcterms:W3CDTF">2026-10-16T11:51:44.929Z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