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1348D">
      <w:pPr>
        <w:pStyle w:val="9"/>
        <w:bidi w:val="0"/>
        <w:rPr>
          <w:rFonts w:hint="eastAsia"/>
          <w:lang w:eastAsia="zh"/>
          <w:woUserID w:val="1"/>
        </w:rPr>
      </w:pPr>
      <w:r>
        <w:rPr>
          <w:rFonts w:hint="eastAsia"/>
          <w:lang w:eastAsia="zh"/>
          <w:woUserID w:val="1"/>
        </w:rPr>
        <w:t>工程经济学2025秋课程大作业</w:t>
      </w:r>
    </w:p>
    <w:p w14:paraId="5841DD9B">
      <w:pPr>
        <w:pStyle w:val="2"/>
        <w:bidi w:val="0"/>
        <w:rPr>
          <w:rFonts w:hint="eastAsia"/>
          <w:lang w:eastAsia="zh"/>
          <w:woUserID w:val="1"/>
        </w:rPr>
      </w:pPr>
      <w:r>
        <w:rPr>
          <w:rFonts w:hint="eastAsia"/>
          <w:lang w:eastAsia="zh"/>
          <w:woUserID w:val="1"/>
        </w:rPr>
        <w:t>项目背景</w:t>
      </w:r>
    </w:p>
    <w:p w14:paraId="0E16EFED">
      <w:pPr>
        <w:rPr>
          <w:rFonts w:hint="eastAsia"/>
          <w:lang w:eastAsia="zh"/>
          <w:woUserID w:val="1"/>
        </w:rPr>
      </w:pPr>
      <w:r>
        <w:rPr>
          <w:rFonts w:hint="eastAsia"/>
          <w:lang w:eastAsia="zh"/>
          <w:woUserID w:val="1"/>
        </w:rPr>
        <w:t>宁波怡丰汇商业项目位于浙江省宁波市江北区新三江口板块。这一片区是近年来宁波崛起的高端居住板块，周边聚集了凯德、九龙仓、远洋、华润等大型地产开发商的住宅社区，居住人口密集，消费能力较强。据统计，3公里范围内约有5.9万个家庭、15万人口，为商业物业提供了充足的潜在客群。</w:t>
      </w:r>
    </w:p>
    <w:p w14:paraId="4E360F24">
      <w:pPr>
        <w:rPr>
          <w:rFonts w:hint="default"/>
          <w:lang w:eastAsia="zh"/>
          <w:woUserID w:val="1"/>
        </w:rPr>
      </w:pPr>
      <w:r>
        <w:rPr>
          <w:rFonts w:hint="default"/>
          <w:lang w:eastAsia="zh"/>
          <w:woUserID w:val="1"/>
        </w:rPr>
        <w:drawing>
          <wp:inline distT="0" distB="0" distL="114300" distR="114300">
            <wp:extent cx="5266055" cy="2409825"/>
            <wp:effectExtent l="0" t="0" r="1079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055" cy="2409825"/>
                    </a:xfrm>
                    <a:prstGeom prst="rect">
                      <a:avLst/>
                    </a:prstGeom>
                  </pic:spPr>
                </pic:pic>
              </a:graphicData>
            </a:graphic>
          </wp:inline>
        </w:drawing>
      </w:r>
    </w:p>
    <w:p w14:paraId="14A030C2">
      <w:pPr>
        <w:rPr>
          <w:rFonts w:hint="eastAsia"/>
          <w:lang w:eastAsia="zh"/>
          <w:woUserID w:val="1"/>
        </w:rPr>
      </w:pPr>
      <w:r>
        <w:rPr>
          <w:rFonts w:hint="eastAsia"/>
          <w:lang w:eastAsia="zh"/>
          <w:woUserID w:val="1"/>
        </w:rPr>
        <w:t>项目所在位置交通便利，临近江北大道，未来将有地铁8号线（预计2026年开通，距离仅800米）和地铁4号线（约1.2公里）支撑交通和客流。这些条件为该商业物业的长期发展提供了良好基础。</w:t>
      </w:r>
    </w:p>
    <w:p w14:paraId="50491154">
      <w:pPr>
        <w:rPr>
          <w:rFonts w:hint="default"/>
          <w:lang w:eastAsia="zh"/>
          <w:woUserID w:val="1"/>
        </w:rPr>
      </w:pPr>
      <w:r>
        <w:rPr>
          <w:rFonts w:hint="default"/>
          <w:lang w:eastAsia="zh"/>
          <w:woUserID w:val="1"/>
        </w:rPr>
        <w:drawing>
          <wp:inline distT="0" distB="0" distL="114300" distR="114300">
            <wp:extent cx="5269230" cy="2327910"/>
            <wp:effectExtent l="0" t="0" r="762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9230" cy="2327910"/>
                    </a:xfrm>
                    <a:prstGeom prst="rect">
                      <a:avLst/>
                    </a:prstGeom>
                  </pic:spPr>
                </pic:pic>
              </a:graphicData>
            </a:graphic>
          </wp:inline>
        </w:drawing>
      </w:r>
    </w:p>
    <w:p w14:paraId="06E7298D">
      <w:pPr>
        <w:rPr>
          <w:rFonts w:hint="eastAsia"/>
          <w:lang w:eastAsia="zh"/>
          <w:woUserID w:val="1"/>
        </w:rPr>
      </w:pPr>
      <w:r>
        <w:rPr>
          <w:rFonts w:hint="eastAsia"/>
          <w:lang w:eastAsia="zh"/>
          <w:woUserID w:val="1"/>
        </w:rPr>
        <w:t>怡丰汇项目由丰树集团开发，于2021年11月开业，定位为社区型购物中心。该项目最初包括住宅、医疗和商业部分，其中住宅和部分商铺已出售，高端医疗部分已在2023年整体出售给爱尔眼科。此次交易标的为</w:t>
      </w:r>
      <w:r>
        <w:rPr>
          <w:rFonts w:hint="eastAsia"/>
          <w:b/>
          <w:bCs/>
          <w:lang w:eastAsia="zh"/>
          <w:woUserID w:val="1"/>
        </w:rPr>
        <w:t>一座产权面积77,008平方米的购物中心</w:t>
      </w:r>
      <w:r>
        <w:rPr>
          <w:rFonts w:hint="eastAsia"/>
          <w:lang w:eastAsia="zh"/>
          <w:woUserID w:val="1"/>
        </w:rPr>
        <w:t>。</w:t>
      </w:r>
    </w:p>
    <w:p w14:paraId="506085A4">
      <w:pPr>
        <w:rPr>
          <w:rFonts w:hint="default"/>
          <w:lang w:eastAsia="zh"/>
          <w:woUserID w:val="1"/>
        </w:rPr>
      </w:pPr>
      <w:r>
        <w:rPr>
          <w:rFonts w:hint="default"/>
          <w:lang w:eastAsia="zh"/>
          <w:woUserID w:val="1"/>
        </w:rPr>
        <w:drawing>
          <wp:inline distT="0" distB="0" distL="114300" distR="114300">
            <wp:extent cx="5269230" cy="2364740"/>
            <wp:effectExtent l="0" t="0" r="762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69230" cy="2364740"/>
                    </a:xfrm>
                    <a:prstGeom prst="rect">
                      <a:avLst/>
                    </a:prstGeom>
                  </pic:spPr>
                </pic:pic>
              </a:graphicData>
            </a:graphic>
          </wp:inline>
        </w:drawing>
      </w:r>
    </w:p>
    <w:p w14:paraId="32E53F94">
      <w:pPr>
        <w:pStyle w:val="2"/>
        <w:bidi w:val="0"/>
        <w:rPr>
          <w:rFonts w:hint="eastAsia"/>
          <w:lang w:eastAsia="zh"/>
          <w:woUserID w:val="1"/>
        </w:rPr>
      </w:pPr>
      <w:r>
        <w:rPr>
          <w:rFonts w:hint="eastAsia"/>
          <w:lang w:eastAsia="zh"/>
          <w:woUserID w:val="1"/>
        </w:rPr>
        <w:t>资产情况与现状</w:t>
      </w:r>
    </w:p>
    <w:p w14:paraId="08D7A2D1">
      <w:pPr>
        <w:rPr>
          <w:rFonts w:hint="eastAsia"/>
          <w:lang w:eastAsia="zh"/>
          <w:woUserID w:val="1"/>
        </w:rPr>
      </w:pPr>
      <w:r>
        <w:rPr>
          <w:rFonts w:hint="eastAsia"/>
          <w:lang w:eastAsia="zh"/>
          <w:woUserID w:val="1"/>
        </w:rPr>
        <w:t>怡丰汇购物中心总建筑面积约107,000平方米，产权面积77,008平方米，共分为地上六层与地下两层。商场配备1,005个停车位，土地性质为批发零售用地，使用年限至2054年。</w:t>
      </w:r>
    </w:p>
    <w:p w14:paraId="28BE1BA7">
      <w:pPr>
        <w:rPr>
          <w:rFonts w:hint="default"/>
          <w:lang w:eastAsia="zh"/>
          <w:woUserID w:val="1"/>
        </w:rPr>
      </w:pPr>
      <w:r>
        <w:rPr>
          <w:rFonts w:hint="default"/>
          <w:lang w:eastAsia="zh"/>
          <w:woUserID w:val="1"/>
        </w:rPr>
        <w:drawing>
          <wp:inline distT="0" distB="0" distL="114300" distR="114300">
            <wp:extent cx="5272405" cy="2904490"/>
            <wp:effectExtent l="0" t="0" r="444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2405" cy="2904490"/>
                    </a:xfrm>
                    <a:prstGeom prst="rect">
                      <a:avLst/>
                    </a:prstGeom>
                  </pic:spPr>
                </pic:pic>
              </a:graphicData>
            </a:graphic>
          </wp:inline>
        </w:drawing>
      </w:r>
    </w:p>
    <w:p w14:paraId="2E17F3A5">
      <w:pPr>
        <w:rPr>
          <w:rFonts w:hint="eastAsia"/>
          <w:lang w:eastAsia="zh"/>
          <w:woUserID w:val="1"/>
        </w:rPr>
      </w:pPr>
      <w:r>
        <w:rPr>
          <w:rFonts w:hint="eastAsia"/>
          <w:lang w:eastAsia="zh"/>
          <w:woUserID w:val="1"/>
        </w:rPr>
        <w:t>截至2024年9月，商场的出租率仅为30%，仅有18家商户在租，年租金收入约400万元。由于商场目前基本处于半停业状态，且丰树集团正在对现有商户逐步清租，因此现有租户的租金水平远低于市场价，商场潜力尚未得到充分释放，现商场年租金总额约400万元，待资产交易完成后，需由专业商管团队进行重新规划及招商，预计可大幅提升商场收入水平。项目计划于</w:t>
      </w:r>
      <w:r>
        <w:rPr>
          <w:rFonts w:hint="eastAsia"/>
          <w:b/>
          <w:bCs/>
          <w:lang w:eastAsia="zh"/>
          <w:woUserID w:val="1"/>
        </w:rPr>
        <w:t>2026年1月1日</w:t>
      </w:r>
      <w:r>
        <w:rPr>
          <w:rFonts w:hint="eastAsia"/>
          <w:lang w:eastAsia="zh"/>
          <w:woUserID w:val="1"/>
        </w:rPr>
        <w:t>完成收购，并在经过初步调整和招商后，于</w:t>
      </w:r>
      <w:r>
        <w:rPr>
          <w:rFonts w:hint="eastAsia"/>
          <w:b/>
          <w:bCs/>
          <w:lang w:eastAsia="zh"/>
          <w:woUserID w:val="1"/>
        </w:rPr>
        <w:t>2026年4月1日</w:t>
      </w:r>
      <w:r>
        <w:rPr>
          <w:rFonts w:hint="eastAsia"/>
          <w:lang w:eastAsia="zh"/>
          <w:woUserID w:val="1"/>
        </w:rPr>
        <w:t>正式重新开业。持有期预计至</w:t>
      </w:r>
      <w:r>
        <w:rPr>
          <w:rFonts w:hint="eastAsia"/>
          <w:b/>
          <w:bCs/>
          <w:lang w:eastAsia="zh"/>
          <w:woUserID w:val="1"/>
        </w:rPr>
        <w:t>2029年12月31日</w:t>
      </w:r>
      <w:r>
        <w:rPr>
          <w:rFonts w:hint="eastAsia"/>
          <w:lang w:eastAsia="zh"/>
          <w:woUserID w:val="1"/>
        </w:rPr>
        <w:t>退出，投资周期为约</w:t>
      </w:r>
      <w:r>
        <w:rPr>
          <w:rFonts w:hint="eastAsia"/>
          <w:b/>
          <w:bCs/>
          <w:lang w:eastAsia="zh"/>
          <w:woUserID w:val="1"/>
        </w:rPr>
        <w:t>4年</w:t>
      </w:r>
      <w:r>
        <w:rPr>
          <w:rFonts w:hint="eastAsia"/>
          <w:lang w:eastAsia="zh"/>
          <w:woUserID w:val="1"/>
        </w:rPr>
        <w:t>。</w:t>
      </w:r>
    </w:p>
    <w:p w14:paraId="2357DEE9">
      <w:pPr>
        <w:pStyle w:val="2"/>
        <w:bidi w:val="0"/>
        <w:rPr>
          <w:rFonts w:hint="eastAsia"/>
          <w:lang w:eastAsia="zh"/>
          <w:woUserID w:val="1"/>
        </w:rPr>
      </w:pPr>
      <w:r>
        <w:rPr>
          <w:rFonts w:hint="eastAsia"/>
          <w:lang w:eastAsia="zh"/>
          <w:woUserID w:val="1"/>
        </w:rPr>
        <w:t>投资逻辑与</w:t>
      </w:r>
      <w:r>
        <w:rPr>
          <w:rFonts w:hint="eastAsia"/>
          <w:lang w:eastAsia="zh"/>
          <w:woUserID w:val="2"/>
        </w:rPr>
        <w:t>定价要点</w:t>
      </w:r>
    </w:p>
    <w:p w14:paraId="26FE31AC">
      <w:pPr>
        <w:rPr>
          <w:rFonts w:hint="eastAsia"/>
          <w:lang w:eastAsia="zh"/>
          <w:woUserID w:val="2"/>
        </w:rPr>
      </w:pPr>
      <w:r>
        <w:rPr>
          <w:rFonts w:hint="eastAsia"/>
          <w:lang w:eastAsia="zh"/>
          <w:woUserID w:val="1"/>
        </w:rPr>
        <w:t>从投资人的角度来看，怡丰汇项目存在明显的挑战：目前商场现金流不足，短期内难以支撑高回报，招商及改造需要额外投入。但也蕴含潜在机遇：项目区位优势明显，未来地铁通车将进一步带动人流。并且周边居住区人口密度高，具备较强的消费潜力。除此之外，与区域内可比项目相比，目前的出租率与租金均处于低位，提升空间巨大。</w:t>
      </w:r>
      <w:r>
        <w:rPr>
          <w:rFonts w:hint="eastAsia"/>
          <w:lang w:eastAsia="zh"/>
          <w:woUserID w:val="2"/>
        </w:rPr>
        <w:t>在此背景下，需基于年度口径的现金流测算，并以</w:t>
      </w:r>
      <w:r>
        <w:rPr>
          <w:rFonts w:hint="eastAsia"/>
          <w:lang w:eastAsia="zh"/>
          <w:woUserID w:val="1"/>
        </w:rPr>
        <w:t>12</w:t>
      </w:r>
      <w:r>
        <w:rPr>
          <w:rFonts w:hint="eastAsia"/>
          <w:lang w:eastAsia="zh"/>
          <w:woUserID w:val="2"/>
        </w:rPr>
        <w:t>%的MARR为基准，合理评估项目的收购价格。</w:t>
      </w:r>
    </w:p>
    <w:p w14:paraId="6D1048EC">
      <w:pPr>
        <w:pStyle w:val="2"/>
        <w:bidi w:val="0"/>
        <w:rPr>
          <w:rFonts w:hint="eastAsia"/>
          <w:lang w:eastAsia="zh"/>
        </w:rPr>
      </w:pPr>
      <w:r>
        <w:rPr>
          <w:rFonts w:hint="eastAsia"/>
          <w:lang w:eastAsia="zh"/>
          <w:woUserID w:val="1"/>
        </w:rPr>
        <w:t>财务分析与关键问题</w:t>
      </w:r>
    </w:p>
    <w:p w14:paraId="7EC451AF">
      <w:pPr>
        <w:rPr>
          <w:rFonts w:hint="eastAsia"/>
          <w:lang w:eastAsia="zh"/>
          <w:woUserID w:val="1"/>
        </w:rPr>
      </w:pPr>
      <w:r>
        <w:rPr>
          <w:rFonts w:hint="eastAsia"/>
          <w:lang w:eastAsia="zh"/>
          <w:woUserID w:val="1"/>
        </w:rPr>
        <w:t>在投资</w:t>
      </w:r>
      <w:r>
        <w:rPr>
          <w:rFonts w:hint="eastAsia"/>
          <w:lang w:eastAsia="zh"/>
          <w:woUserID w:val="2"/>
        </w:rPr>
        <w:t>分析</w:t>
      </w:r>
      <w:r>
        <w:rPr>
          <w:rFonts w:hint="eastAsia"/>
          <w:lang w:eastAsia="zh"/>
          <w:woUserID w:val="1"/>
        </w:rPr>
        <w:t>中，核心是建立现金流模型、</w:t>
      </w:r>
      <w:r>
        <w:rPr>
          <w:rFonts w:hint="eastAsia"/>
          <w:lang w:eastAsia="zh"/>
          <w:woUserID w:val="2"/>
        </w:rPr>
        <w:t>在预期的投资回报率下估计合理的收购价格</w:t>
      </w:r>
      <w:r>
        <w:rPr>
          <w:rFonts w:hint="eastAsia"/>
          <w:lang w:eastAsia="zh"/>
          <w:woUserID w:val="1"/>
        </w:rPr>
        <w:t>（</w:t>
      </w:r>
      <w:r>
        <w:rPr>
          <w:rFonts w:hint="eastAsia"/>
          <w:b/>
          <w:bCs/>
          <w:lang w:eastAsia="zh"/>
          <w:woUserID w:val="1"/>
        </w:rPr>
        <w:t>收购对价</w:t>
      </w:r>
      <w:r>
        <w:rPr>
          <w:rFonts w:hint="eastAsia"/>
          <w:lang w:eastAsia="zh"/>
          <w:woUserID w:val="1"/>
        </w:rPr>
        <w:t>）。</w:t>
      </w:r>
      <w:r>
        <w:rPr>
          <w:rFonts w:hint="eastAsia"/>
          <w:lang w:eastAsia="zh"/>
          <w:woUserID w:val="2"/>
        </w:rPr>
        <w:t>进一步通过敏感性分析和战略判断对项目进行投资可行性的综合评估。</w:t>
      </w:r>
      <w:r>
        <w:rPr>
          <w:rFonts w:hint="eastAsia"/>
          <w:lang w:eastAsia="zh"/>
          <w:woUserID w:val="1"/>
        </w:rPr>
        <w:t>请你站在投资委员会成员的角度，按照以下四个步骤进行分析：</w:t>
      </w:r>
    </w:p>
    <w:p w14:paraId="4A250A7B">
      <w:pPr>
        <w:pStyle w:val="3"/>
        <w:numPr>
          <w:ilvl w:val="1"/>
          <w:numId w:val="0"/>
        </w:numPr>
        <w:bidi w:val="0"/>
        <w:ind w:leftChars="0"/>
        <w:rPr>
          <w:rFonts w:hint="eastAsia"/>
          <w:lang w:eastAsia="zh"/>
        </w:rPr>
      </w:pPr>
      <w:r>
        <w:rPr>
          <w:rFonts w:hint="eastAsia"/>
          <w:lang w:eastAsia="zh"/>
          <w:woUserID w:val="1"/>
        </w:rPr>
        <w:t>Step 1：建立现金流模型</w:t>
      </w:r>
    </w:p>
    <w:p w14:paraId="715C733D">
      <w:pPr>
        <w:rPr>
          <w:rFonts w:hint="eastAsia"/>
          <w:lang w:eastAsia="zh"/>
          <w:woUserID w:val="1"/>
        </w:rPr>
      </w:pPr>
      <w:r>
        <w:rPr>
          <w:rFonts w:hint="eastAsia"/>
          <w:lang w:eastAsia="zh"/>
          <w:woUserID w:val="1"/>
        </w:rPr>
        <w:t>本阶段的目标是基于Excel文件中提供的基础假设数据，系统理解项目的现金流结构。首先，根据项目时间线划分现金流阶段，以2026年</w:t>
      </w:r>
      <w:r>
        <w:rPr>
          <w:rFonts w:hint="eastAsia"/>
          <w:lang w:eastAsia="zh"/>
          <w:woUserID w:val="2"/>
        </w:rPr>
        <w:t>1月1日为</w:t>
      </w:r>
      <w:r>
        <w:rPr>
          <w:rFonts w:hint="eastAsia"/>
          <w:lang w:eastAsia="zh"/>
          <w:woUserID w:val="1"/>
        </w:rPr>
        <w:t>期初</w:t>
      </w:r>
      <w:r>
        <w:rPr>
          <w:rFonts w:hint="eastAsia"/>
          <w:lang w:eastAsia="zh"/>
          <w:woUserID w:val="2"/>
        </w:rPr>
        <w:t>（</w:t>
      </w:r>
      <w:r>
        <w:rPr>
          <w:rFonts w:hint="eastAsia"/>
          <w:lang w:eastAsia="zh"/>
          <w:woUserID w:val="1"/>
        </w:rPr>
        <w:t>Period 0</w:t>
      </w:r>
      <w:r>
        <w:rPr>
          <w:rFonts w:hint="eastAsia"/>
          <w:lang w:eastAsia="zh"/>
          <w:woUserID w:val="2"/>
        </w:rPr>
        <w:t>），2026年为项目改造期，2027-2029年为项目平稳期，</w:t>
      </w:r>
      <w:r>
        <w:rPr>
          <w:rFonts w:hint="eastAsia"/>
          <w:lang w:eastAsia="zh"/>
          <w:woUserID w:val="1"/>
        </w:rPr>
        <w:t>构建现金流模型</w:t>
      </w:r>
      <w:r>
        <w:rPr>
          <w:rFonts w:hint="eastAsia"/>
          <w:lang w:eastAsia="zh"/>
          <w:woUserID w:val="2"/>
        </w:rPr>
        <w:t>（不考虑折旧）</w:t>
      </w:r>
      <w:r>
        <w:rPr>
          <w:rFonts w:hint="eastAsia"/>
          <w:lang w:eastAsia="zh"/>
          <w:woUserID w:val="1"/>
        </w:rPr>
        <w:t>，计算各</w:t>
      </w:r>
      <w:r>
        <w:rPr>
          <w:rFonts w:hint="eastAsia"/>
          <w:lang w:eastAsia="zh"/>
          <w:woUserID w:val="2"/>
        </w:rPr>
        <w:t>年度</w:t>
      </w:r>
      <w:r>
        <w:rPr>
          <w:rFonts w:hint="eastAsia"/>
          <w:lang w:eastAsia="zh"/>
          <w:woUserID w:val="1"/>
        </w:rPr>
        <w:t>的现金流：</w:t>
      </w:r>
    </w:p>
    <w:p w14:paraId="47618404">
      <w:pPr>
        <w:numPr>
          <w:ilvl w:val="0"/>
          <w:numId w:val="2"/>
        </w:numPr>
        <w:ind w:left="0" w:leftChars="0" w:firstLine="0" w:firstLineChars="0"/>
        <w:rPr>
          <w:rFonts w:hint="eastAsia"/>
          <w:lang w:eastAsia="zh"/>
          <w:woUserID w:val="2"/>
        </w:rPr>
      </w:pPr>
      <w:r>
        <w:rPr>
          <w:rFonts w:hint="eastAsia"/>
          <w:lang w:eastAsia="zh"/>
          <w:woUserID w:val="2"/>
        </w:rPr>
        <w:t>投资成本。2026年初一次性支付收购对价，交易契税（收购对价×契税税率），其他交易相关费用以及商场开业成本；</w:t>
      </w:r>
    </w:p>
    <w:p w14:paraId="3D87995A">
      <w:pPr>
        <w:numPr>
          <w:ilvl w:val="0"/>
          <w:numId w:val="2"/>
        </w:numPr>
        <w:ind w:left="0" w:leftChars="0" w:firstLine="0" w:firstLineChars="0"/>
        <w:rPr>
          <w:rFonts w:hint="eastAsia"/>
          <w:lang w:eastAsia="zh"/>
          <w:woUserID w:val="2"/>
        </w:rPr>
      </w:pPr>
      <w:r>
        <w:rPr>
          <w:rFonts w:hint="eastAsia"/>
          <w:lang w:eastAsia="zh"/>
          <w:woUserID w:val="2"/>
        </w:rPr>
        <w:t>租金收入。项目将于2026年4月</w:t>
      </w:r>
      <w:r>
        <w:rPr>
          <w:rFonts w:hint="eastAsia"/>
          <w:lang w:eastAsia="zh"/>
          <w:woUserID w:val="1"/>
        </w:rPr>
        <w:t>1日</w:t>
      </w:r>
      <w:r>
        <w:rPr>
          <w:rFonts w:hint="eastAsia"/>
          <w:lang w:eastAsia="zh"/>
          <w:woUserID w:val="2"/>
        </w:rPr>
        <w:t>开业，且首年设有3个月免租期，即2026年仅收取6个月租金；2027年起，项目进入稳定运营阶段，租金按照全年收取，且依照出租率和租金增长率逐年调整；</w:t>
      </w:r>
    </w:p>
    <w:p w14:paraId="0E1FF509">
      <w:pPr>
        <w:numPr>
          <w:ilvl w:val="0"/>
          <w:numId w:val="2"/>
        </w:numPr>
        <w:ind w:left="0" w:leftChars="0" w:firstLine="0" w:firstLineChars="0"/>
        <w:rPr>
          <w:rFonts w:hint="eastAsia"/>
          <w:lang w:eastAsia="zh"/>
          <w:woUserID w:val="2"/>
        </w:rPr>
      </w:pPr>
      <w:r>
        <w:rPr>
          <w:rFonts w:hint="eastAsia"/>
          <w:lang w:eastAsia="zh"/>
          <w:woUserID w:val="2"/>
        </w:rPr>
        <w:t>停车费收入。所有楼层的产权车位与无产权车位实行统一运营管理，全部计入停车收费经营收益，收入按照每年商场实际运营的天数计算；</w:t>
      </w:r>
    </w:p>
    <w:p w14:paraId="766868A1">
      <w:pPr>
        <w:numPr>
          <w:ilvl w:val="0"/>
          <w:numId w:val="2"/>
        </w:numPr>
        <w:ind w:left="0" w:leftChars="0" w:firstLine="0" w:firstLineChars="0"/>
        <w:rPr>
          <w:rFonts w:hint="eastAsia"/>
          <w:lang w:eastAsia="zh"/>
          <w:woUserID w:val="2"/>
        </w:rPr>
      </w:pPr>
      <w:r>
        <w:rPr>
          <w:rFonts w:hint="eastAsia"/>
          <w:lang w:eastAsia="zh"/>
          <w:woUserID w:val="2"/>
        </w:rPr>
        <w:t>物业费收入。按实际出租面积计取。处于免租期时，租金免收，但物业费仍照常收取；</w:t>
      </w:r>
    </w:p>
    <w:p w14:paraId="2333391E">
      <w:pPr>
        <w:numPr>
          <w:ilvl w:val="0"/>
          <w:numId w:val="2"/>
        </w:numPr>
        <w:ind w:left="0" w:leftChars="0" w:firstLine="0" w:firstLineChars="0"/>
        <w:rPr>
          <w:rFonts w:hint="eastAsia"/>
          <w:lang w:eastAsia="zh"/>
          <w:woUserID w:val="2"/>
        </w:rPr>
      </w:pPr>
      <w:r>
        <w:rPr>
          <w:rFonts w:hint="eastAsia"/>
          <w:lang w:eastAsia="zh"/>
          <w:woUserID w:val="2"/>
        </w:rPr>
        <w:t>运营成本。</w:t>
      </w:r>
      <w:r>
        <w:rPr>
          <w:rFonts w:hint="eastAsia"/>
          <w:lang w:eastAsia="zh"/>
          <w:woUserID w:val="1"/>
        </w:rPr>
        <w:t>因</w:t>
      </w:r>
      <w:r>
        <w:rPr>
          <w:rFonts w:hint="eastAsia"/>
          <w:lang w:eastAsia="zh"/>
          <w:woUserID w:val="2"/>
        </w:rPr>
        <w:t>首年</w:t>
      </w:r>
      <w:r>
        <w:rPr>
          <w:rFonts w:hint="eastAsia"/>
          <w:lang w:eastAsia="zh"/>
          <w:woUserID w:val="1"/>
        </w:rPr>
        <w:t>运营时间仅有9</w:t>
      </w:r>
      <w:r>
        <w:rPr>
          <w:rFonts w:hint="eastAsia"/>
          <w:lang w:eastAsia="zh"/>
          <w:woUserID w:val="2"/>
        </w:rPr>
        <w:t>个月，运营成本（人事、市场推广、维保维修、物业管理、能耗、行政）</w:t>
      </w:r>
      <w:r>
        <w:rPr>
          <w:rFonts w:hint="eastAsia"/>
          <w:lang w:eastAsia="zh"/>
          <w:woUserID w:val="1"/>
        </w:rPr>
        <w:t>依照建筑面积，</w:t>
      </w:r>
      <w:r>
        <w:rPr>
          <w:rFonts w:hint="eastAsia"/>
          <w:lang w:eastAsia="zh"/>
          <w:woUserID w:val="2"/>
        </w:rPr>
        <w:t>按全年</w:t>
      </w:r>
      <w:r>
        <w:rPr>
          <w:rFonts w:hint="eastAsia"/>
          <w:lang w:eastAsia="zh"/>
          <w:woUserID w:val="1"/>
        </w:rPr>
        <w:t>的实际运营时间</w:t>
      </w:r>
      <w:r>
        <w:rPr>
          <w:rFonts w:hint="eastAsia"/>
          <w:lang w:eastAsia="zh"/>
          <w:woUserID w:val="2"/>
        </w:rPr>
        <w:t>折算。2027年起，项目进入稳定运营阶段，费用按照全年</w:t>
      </w:r>
      <w:r>
        <w:rPr>
          <w:rFonts w:hint="eastAsia"/>
          <w:lang w:eastAsia="zh"/>
          <w:woUserID w:val="1"/>
        </w:rPr>
        <w:t>计算</w:t>
      </w:r>
      <w:r>
        <w:rPr>
          <w:rFonts w:hint="eastAsia"/>
          <w:lang w:eastAsia="zh"/>
          <w:woUserID w:val="2"/>
        </w:rPr>
        <w:t>，且依据费用增长率逐年调整；</w:t>
      </w:r>
    </w:p>
    <w:p w14:paraId="23230AC9">
      <w:pPr>
        <w:numPr>
          <w:ilvl w:val="0"/>
          <w:numId w:val="2"/>
        </w:numPr>
        <w:ind w:left="0" w:leftChars="0" w:firstLine="0" w:firstLineChars="0"/>
        <w:rPr>
          <w:rFonts w:hint="eastAsia"/>
          <w:lang w:eastAsia="zh"/>
          <w:woUserID w:val="1"/>
        </w:rPr>
      </w:pPr>
      <w:r>
        <w:rPr>
          <w:rFonts w:hint="eastAsia"/>
          <w:lang w:eastAsia="zh"/>
          <w:woUserID w:val="1"/>
        </w:rPr>
        <w:t>退出价值：假设2029年12月31日后项目可持续产生稳定现金流，采用永续年金模型（i=8%）计算退出价值；</w:t>
      </w:r>
    </w:p>
    <w:p w14:paraId="4CB7CA05">
      <w:pPr>
        <w:numPr>
          <w:ilvl w:val="0"/>
          <w:numId w:val="2"/>
        </w:numPr>
        <w:ind w:left="0" w:leftChars="0" w:firstLine="0" w:firstLineChars="0"/>
        <w:rPr>
          <w:rFonts w:hint="eastAsia"/>
          <w:lang w:eastAsia="zh"/>
          <w:woUserID w:val="2"/>
        </w:rPr>
      </w:pPr>
      <w:r>
        <w:rPr>
          <w:rFonts w:hint="eastAsia"/>
          <w:lang w:eastAsia="zh"/>
          <w:woUserID w:val="2"/>
        </w:rPr>
        <w:t>税收成本：依据每年营业利润需要缴纳的企业所得税，统一按25%的固定税率计算</w:t>
      </w:r>
      <w:r>
        <w:rPr>
          <w:rFonts w:hint="eastAsia"/>
          <w:lang w:eastAsia="zh"/>
          <w:woUserID w:val="1"/>
        </w:rPr>
        <w:t>，退出价值不计税。</w:t>
      </w:r>
    </w:p>
    <w:p w14:paraId="6C685E10">
      <w:pPr>
        <w:numPr>
          <w:ilvl w:val="0"/>
          <w:numId w:val="0"/>
        </w:numPr>
        <w:ind w:leftChars="0"/>
        <w:rPr>
          <w:rFonts w:hint="eastAsia"/>
          <w:lang w:eastAsia="zh"/>
          <w:woUserID w:val="2"/>
        </w:rPr>
      </w:pPr>
      <w:r>
        <w:rPr>
          <w:rFonts w:hint="eastAsia"/>
          <w:lang w:eastAsia="zh"/>
          <w:woUserID w:val="1"/>
        </w:rPr>
        <w:t>在现金流测算过程中，应重点分析以下问题：现金流是否能逐季度改善？改造期与稳定期的现金流差异有多大？</w:t>
      </w:r>
      <w:bookmarkStart w:id="0" w:name="_GoBack"/>
      <w:bookmarkEnd w:id="0"/>
    </w:p>
    <w:p w14:paraId="46987407">
      <w:pPr>
        <w:pStyle w:val="3"/>
        <w:numPr>
          <w:ilvl w:val="1"/>
          <w:numId w:val="0"/>
        </w:numPr>
        <w:bidi w:val="0"/>
        <w:ind w:leftChars="0"/>
        <w:rPr>
          <w:rFonts w:hint="eastAsia"/>
          <w:lang w:eastAsia="zh"/>
          <w:woUserID w:val="1"/>
        </w:rPr>
      </w:pPr>
      <w:r>
        <w:rPr>
          <w:rFonts w:hint="eastAsia"/>
          <w:lang w:eastAsia="zh"/>
          <w:woUserID w:val="1"/>
        </w:rPr>
        <w:t>Step 2：</w:t>
      </w:r>
      <w:r>
        <w:rPr>
          <w:rFonts w:hint="eastAsia"/>
          <w:lang w:eastAsia="zh"/>
          <w:woUserID w:val="2"/>
        </w:rPr>
        <w:t>收购价格估算</w:t>
      </w:r>
    </w:p>
    <w:p w14:paraId="54199244">
      <w:pPr>
        <w:numPr>
          <w:ilvl w:val="0"/>
          <w:numId w:val="0"/>
        </w:numPr>
        <w:ind w:leftChars="0"/>
        <w:rPr>
          <w:rFonts w:hint="eastAsia"/>
          <w:lang w:eastAsia="zh"/>
          <w:woUserID w:val="1"/>
        </w:rPr>
      </w:pPr>
      <w:r>
        <w:rPr>
          <w:rFonts w:hint="eastAsia"/>
          <w:lang w:eastAsia="zh"/>
          <w:woUserID w:val="1"/>
        </w:rPr>
        <w:t>在构建现金流模型后，你</w:t>
      </w:r>
      <w:r>
        <w:rPr>
          <w:rFonts w:hint="eastAsia"/>
          <w:lang w:eastAsia="zh"/>
          <w:woUserID w:val="2"/>
        </w:rPr>
        <w:t>需要在MARR为12%的基准</w:t>
      </w:r>
      <w:r>
        <w:rPr>
          <w:rFonts w:hint="eastAsia"/>
          <w:lang w:eastAsia="zh"/>
          <w:woUserID w:val="1"/>
        </w:rPr>
        <w:t>，</w:t>
      </w:r>
      <w:r>
        <w:rPr>
          <w:rFonts w:hint="eastAsia"/>
          <w:lang w:eastAsia="zh"/>
          <w:woUserID w:val="2"/>
        </w:rPr>
        <w:t>给出对该项目的收购价格建议。</w:t>
      </w:r>
    </w:p>
    <w:p w14:paraId="27BF8BF3">
      <w:pPr>
        <w:pStyle w:val="3"/>
        <w:numPr>
          <w:ilvl w:val="1"/>
          <w:numId w:val="0"/>
        </w:numPr>
        <w:bidi w:val="0"/>
        <w:ind w:leftChars="0"/>
        <w:rPr>
          <w:rFonts w:hint="eastAsia"/>
          <w:lang w:eastAsia="zh"/>
          <w:woUserID w:val="1"/>
        </w:rPr>
      </w:pPr>
      <w:r>
        <w:rPr>
          <w:rFonts w:hint="eastAsia"/>
          <w:lang w:eastAsia="zh"/>
          <w:woUserID w:val="1"/>
        </w:rPr>
        <w:t>Step 3：敏感性分析</w:t>
      </w:r>
    </w:p>
    <w:p w14:paraId="4553A500">
      <w:pPr>
        <w:numPr>
          <w:ilvl w:val="0"/>
          <w:numId w:val="0"/>
        </w:numPr>
        <w:ind w:leftChars="0"/>
        <w:rPr>
          <w:woUserID w:val="1"/>
        </w:rPr>
      </w:pPr>
      <w:r>
        <w:rPr>
          <w:rFonts w:hint="eastAsia"/>
          <w:lang w:eastAsia="zh"/>
          <w:woUserID w:val="1"/>
        </w:rPr>
        <w:t>由于商业地产存在高度不确定性，因此你需要检验关键变量变化对结果的影响。请在Excel中调整租赁相关假设数据，</w:t>
      </w:r>
      <w:r>
        <w:rPr>
          <w:rFonts w:hint="eastAsia"/>
          <w:lang w:eastAsia="zh"/>
          <w:woUserID w:val="2"/>
        </w:rPr>
        <w:t>比较结果的差异</w:t>
      </w:r>
      <w:r>
        <w:rPr>
          <w:rFonts w:hint="eastAsia"/>
          <w:lang w:eastAsia="zh"/>
          <w:woUserID w:val="1"/>
        </w:rPr>
        <w:t>。</w:t>
      </w:r>
      <w:r>
        <w:rPr>
          <w:rFonts w:hint="eastAsia"/>
          <w:lang w:eastAsia="zh"/>
          <w:woUserID w:val="2"/>
        </w:rPr>
        <w:t>比如在不同的出租率，租金增长率的估计下，</w:t>
      </w:r>
      <w:r>
        <w:rPr>
          <w:rFonts w:hint="eastAsia"/>
          <w:lang w:eastAsia="zh"/>
          <w:woUserID w:val="1"/>
        </w:rPr>
        <w:t>重新计算现金流</w:t>
      </w:r>
      <w:r>
        <w:rPr>
          <w:rFonts w:hint="eastAsia"/>
          <w:lang w:eastAsia="zh"/>
          <w:woUserID w:val="2"/>
        </w:rPr>
        <w:t>和合理的收购价格，观察结果随租赁相关参数的变化程度。</w:t>
      </w:r>
    </w:p>
    <w:p w14:paraId="52C13761">
      <w:pPr>
        <w:pStyle w:val="3"/>
        <w:numPr>
          <w:ilvl w:val="1"/>
          <w:numId w:val="0"/>
        </w:numPr>
        <w:bidi w:val="0"/>
        <w:ind w:leftChars="0"/>
        <w:rPr>
          <w:rFonts w:hint="eastAsia" w:eastAsia="宋体"/>
          <w:lang w:eastAsia="zh"/>
          <w:woUserID w:val="1"/>
        </w:rPr>
      </w:pPr>
      <w:r>
        <w:rPr>
          <w:rFonts w:hint="eastAsia"/>
          <w:lang w:eastAsia="zh"/>
          <w:woUserID w:val="1"/>
        </w:rPr>
        <w:t>Step 4：开放性思考</w:t>
      </w:r>
    </w:p>
    <w:p w14:paraId="6EA6940A">
      <w:pPr>
        <w:numPr>
          <w:ilvl w:val="0"/>
          <w:numId w:val="0"/>
        </w:numPr>
        <w:ind w:leftChars="0"/>
      </w:pPr>
      <w:r>
        <w:rPr>
          <w:rFonts w:hint="eastAsia"/>
          <w:lang w:eastAsia="zh"/>
          <w:woUserID w:val="1"/>
        </w:rPr>
        <w:t>以上</w:t>
      </w:r>
      <w:r>
        <w:rPr>
          <w:rFonts w:hint="eastAsia"/>
          <w:woUserID w:val="1"/>
        </w:rPr>
        <w:t>财务</w:t>
      </w:r>
      <w:r>
        <w:rPr>
          <w:rFonts w:hint="eastAsia"/>
          <w:lang w:eastAsia="zh"/>
          <w:woUserID w:val="1"/>
        </w:rPr>
        <w:t>分析</w:t>
      </w:r>
      <w:r>
        <w:rPr>
          <w:rFonts w:hint="eastAsia"/>
          <w:woUserID w:val="1"/>
        </w:rPr>
        <w:t>无法覆盖所有现实风险，</w:t>
      </w:r>
      <w:r>
        <w:rPr>
          <w:rFonts w:hint="eastAsia"/>
          <w:lang w:eastAsia="zh"/>
          <w:woUserID w:val="1"/>
        </w:rPr>
        <w:t>你需要跳出财务模型，从战略与运营层面判断项目可行性。请结合提供的</w:t>
      </w:r>
      <w:r>
        <w:rPr>
          <w:rFonts w:hint="eastAsia"/>
          <w:lang w:eastAsia="zh"/>
          <w:woUserID w:val="2"/>
        </w:rPr>
        <w:t>该商场历史</w:t>
      </w:r>
      <w:r>
        <w:rPr>
          <w:rFonts w:hint="eastAsia" w:ascii="Times New Roman" w:hAnsi="Times New Roman" w:eastAsia="宋体" w:cstheme="minorBidi"/>
          <w:sz w:val="22"/>
          <w:szCs w:val="24"/>
          <w:woUserID w:val="1"/>
        </w:rPr>
        <w:t>租户结构及租金表思考以下问题</w:t>
      </w:r>
      <w:r>
        <w:rPr>
          <w:rFonts w:hint="eastAsia" w:ascii="Times New Roman" w:hAnsi="Times New Roman" w:cstheme="minorBidi"/>
          <w:sz w:val="22"/>
          <w:szCs w:val="24"/>
          <w:lang w:eastAsia="zh"/>
          <w:woUserID w:val="1"/>
        </w:rPr>
        <w:t>：</w:t>
      </w:r>
    </w:p>
    <w:p w14:paraId="2EDC9100">
      <w:pPr>
        <w:numPr>
          <w:ilvl w:val="0"/>
          <w:numId w:val="3"/>
        </w:numPr>
        <w:ind w:left="425" w:leftChars="0" w:hanging="425" w:firstLineChars="0"/>
      </w:pPr>
      <w:r>
        <w:rPr>
          <w:rFonts w:hint="eastAsia"/>
          <w:lang w:eastAsia="zh"/>
          <w:woUserID w:val="1"/>
        </w:rPr>
        <w:t>除了财务因素，你认为项目还面临哪些潜在风险？</w:t>
      </w:r>
      <w:r>
        <w:rPr>
          <w:rFonts w:hint="eastAsia"/>
          <w:lang w:eastAsia="zh"/>
          <w:woUserID w:val="2"/>
        </w:rPr>
        <w:t>比如影院、健身等主力店虽然租金贡献大，但高度依赖客流，若运营不及预期，可能存在租金拖欠的风险。</w:t>
      </w:r>
    </w:p>
    <w:p w14:paraId="755C131D">
      <w:pPr>
        <w:numPr>
          <w:ilvl w:val="0"/>
          <w:numId w:val="3"/>
        </w:numPr>
        <w:ind w:left="425" w:leftChars="0" w:hanging="425" w:firstLineChars="0"/>
      </w:pPr>
      <w:r>
        <w:rPr>
          <w:rFonts w:hint="eastAsia"/>
          <w:lang w:eastAsia="zh"/>
          <w:woUserID w:val="1"/>
        </w:rPr>
        <w:t>如果由你负责商场运营与招商，你会优先选择哪些业态或主力租户来提升商场吸引力？你的策略如何帮助项目实现更稳定的现金流？</w:t>
      </w:r>
    </w:p>
    <w:p w14:paraId="7E00F969">
      <w:pPr>
        <w:numPr>
          <w:ilvl w:val="0"/>
          <w:numId w:val="0"/>
        </w:numPr>
        <w:ind w:leftChars="0"/>
        <w:rPr>
          <w:rFonts w:hint="eastAsia" w:eastAsia="宋体"/>
          <w:lang w:eastAsia="zh"/>
          <w:woUserID w:val="1"/>
        </w:rPr>
      </w:pPr>
      <w:r>
        <w:rPr>
          <w:rFonts w:hint="default"/>
          <w:lang w:eastAsia="zh"/>
          <w:woUserID w:val="1"/>
        </w:rPr>
        <w:drawing>
          <wp:inline distT="0" distB="0" distL="114300" distR="114300">
            <wp:extent cx="5260975" cy="2197735"/>
            <wp:effectExtent l="0" t="0" r="1587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0975" cy="2197735"/>
                    </a:xfrm>
                    <a:prstGeom prst="rect">
                      <a:avLst/>
                    </a:prstGeom>
                  </pic:spPr>
                </pic:pic>
              </a:graphicData>
            </a:graphic>
          </wp:inline>
        </w:drawing>
      </w: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60B7DBBD">
        <w:pPr>
          <w:pStyle w:val="6"/>
          <w:jc w:val="center"/>
        </w:pPr>
        <w:r>
          <w:fldChar w:fldCharType="begin"/>
        </w:r>
        <w:r>
          <w:instrText xml:space="preserve">PAGE   \* MERGEFORMAT</w:instrText>
        </w:r>
        <w:r>
          <w:fldChar w:fldCharType="separate"/>
        </w:r>
        <w:r>
          <w:rPr>
            <w:lang w:val="zh-CN"/>
          </w:rPr>
          <w:t>2</w:t>
        </w:r>
        <w:r>
          <w:fldChar w:fldCharType="end"/>
        </w:r>
      </w:p>
    </w:sdtContent>
  </w:sdt>
  <w:p w14:paraId="6559DA47">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EFE245"/>
    <w:multiLevelType w:val="multilevel"/>
    <w:tmpl w:val="DEEFE24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7AAC63F3"/>
    <w:multiLevelType w:val="multilevel"/>
    <w:tmpl w:val="7AAC63F3"/>
    <w:lvl w:ilvl="0" w:tentative="0">
      <w:start w:val="1"/>
      <w:numFmt w:val="decimal"/>
      <w:pStyle w:val="2"/>
      <w:lvlText w:val="%1"/>
      <w:lvlJc w:val="left"/>
      <w:pPr>
        <w:ind w:left="567" w:hanging="567"/>
      </w:pPr>
      <w:rPr>
        <w:rFonts w:hint="eastAsia"/>
      </w:rPr>
    </w:lvl>
    <w:lvl w:ilvl="1" w:tentative="0">
      <w:start w:val="1"/>
      <w:numFmt w:val="decimal"/>
      <w:pStyle w:val="3"/>
      <w:lvlText w:val="%1.%2"/>
      <w:lvlJc w:val="left"/>
      <w:pPr>
        <w:ind w:left="709" w:hanging="709"/>
      </w:pPr>
      <w:rPr>
        <w:rFonts w:hint="eastAsia"/>
      </w:rPr>
    </w:lvl>
    <w:lvl w:ilvl="2" w:tentative="0">
      <w:start w:val="1"/>
      <w:numFmt w:val="decimal"/>
      <w:pStyle w:val="4"/>
      <w:lvlText w:val="%1.%2.%3"/>
      <w:lvlJc w:val="left"/>
      <w:pPr>
        <w:ind w:left="851" w:hanging="851"/>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7CFBBFF7"/>
    <w:multiLevelType w:val="singleLevel"/>
    <w:tmpl w:val="7CFBBFF7"/>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4C2"/>
    <w:rsid w:val="000A7496"/>
    <w:rsid w:val="002E0E71"/>
    <w:rsid w:val="003E50C6"/>
    <w:rsid w:val="00487BD0"/>
    <w:rsid w:val="005624C2"/>
    <w:rsid w:val="005941B5"/>
    <w:rsid w:val="00602F03"/>
    <w:rsid w:val="0081057B"/>
    <w:rsid w:val="0095624D"/>
    <w:rsid w:val="00A744FF"/>
    <w:rsid w:val="00AE248E"/>
    <w:rsid w:val="00B11E79"/>
    <w:rsid w:val="00EC3E60"/>
    <w:rsid w:val="1D5E60DB"/>
    <w:rsid w:val="1FFBB6E5"/>
    <w:rsid w:val="276F09D8"/>
    <w:rsid w:val="27FD746F"/>
    <w:rsid w:val="2B2DE90A"/>
    <w:rsid w:val="359DF7CF"/>
    <w:rsid w:val="36DF014D"/>
    <w:rsid w:val="37FEC1A3"/>
    <w:rsid w:val="3EF78511"/>
    <w:rsid w:val="3FDBBA7A"/>
    <w:rsid w:val="3FF3F5C1"/>
    <w:rsid w:val="3FFBD5D5"/>
    <w:rsid w:val="45F95701"/>
    <w:rsid w:val="45FD8632"/>
    <w:rsid w:val="4DFB71D7"/>
    <w:rsid w:val="4FFF89C9"/>
    <w:rsid w:val="564E00B3"/>
    <w:rsid w:val="59FF3776"/>
    <w:rsid w:val="5AFFEF29"/>
    <w:rsid w:val="5CFF4317"/>
    <w:rsid w:val="5DD5A7C4"/>
    <w:rsid w:val="5DDF43D1"/>
    <w:rsid w:val="5DEFF83F"/>
    <w:rsid w:val="5F9F3289"/>
    <w:rsid w:val="5FEF54C2"/>
    <w:rsid w:val="5FFE0C4C"/>
    <w:rsid w:val="64FDD67B"/>
    <w:rsid w:val="65F4B9A5"/>
    <w:rsid w:val="665FA0C6"/>
    <w:rsid w:val="66A32E7E"/>
    <w:rsid w:val="675EB1FF"/>
    <w:rsid w:val="67EFF300"/>
    <w:rsid w:val="68FB6644"/>
    <w:rsid w:val="6AACBB73"/>
    <w:rsid w:val="6DC72B78"/>
    <w:rsid w:val="6DEF121D"/>
    <w:rsid w:val="6FBF277F"/>
    <w:rsid w:val="6FDF108A"/>
    <w:rsid w:val="6FE734E3"/>
    <w:rsid w:val="73AF24C7"/>
    <w:rsid w:val="763FEC75"/>
    <w:rsid w:val="767C2B98"/>
    <w:rsid w:val="77DD46A2"/>
    <w:rsid w:val="77ECF063"/>
    <w:rsid w:val="7B77671E"/>
    <w:rsid w:val="7BF71CE2"/>
    <w:rsid w:val="7BFFF18E"/>
    <w:rsid w:val="7C97AE84"/>
    <w:rsid w:val="7D6B9D37"/>
    <w:rsid w:val="7EBBC580"/>
    <w:rsid w:val="7EEFA337"/>
    <w:rsid w:val="7F669829"/>
    <w:rsid w:val="7FD7F9C7"/>
    <w:rsid w:val="7FDE31C5"/>
    <w:rsid w:val="7FFD7499"/>
    <w:rsid w:val="957B4A3C"/>
    <w:rsid w:val="957E87E3"/>
    <w:rsid w:val="95950FA6"/>
    <w:rsid w:val="9BD7D933"/>
    <w:rsid w:val="9FF68E23"/>
    <w:rsid w:val="A07E6D92"/>
    <w:rsid w:val="A3F12FE7"/>
    <w:rsid w:val="AB7B808C"/>
    <w:rsid w:val="B5DB0036"/>
    <w:rsid w:val="BBBB1E59"/>
    <w:rsid w:val="BF7F778B"/>
    <w:rsid w:val="CCDF790E"/>
    <w:rsid w:val="CDF898BE"/>
    <w:rsid w:val="CE6F5586"/>
    <w:rsid w:val="CFBFB439"/>
    <w:rsid w:val="CFD5EFBB"/>
    <w:rsid w:val="CFFF06ED"/>
    <w:rsid w:val="D3EC5116"/>
    <w:rsid w:val="D6FF3D26"/>
    <w:rsid w:val="D98BA594"/>
    <w:rsid w:val="D9FE42AA"/>
    <w:rsid w:val="DA2F14F3"/>
    <w:rsid w:val="DA3F1659"/>
    <w:rsid w:val="DBDFB91C"/>
    <w:rsid w:val="DBFE08DA"/>
    <w:rsid w:val="DF6E27D8"/>
    <w:rsid w:val="DF778645"/>
    <w:rsid w:val="E5EECFBD"/>
    <w:rsid w:val="EADCD528"/>
    <w:rsid w:val="EBB62507"/>
    <w:rsid w:val="EE3FB212"/>
    <w:rsid w:val="EFF73302"/>
    <w:rsid w:val="F49F8E82"/>
    <w:rsid w:val="F7DBBE91"/>
    <w:rsid w:val="F7EFCA4B"/>
    <w:rsid w:val="FB5B00BA"/>
    <w:rsid w:val="FB7B5A46"/>
    <w:rsid w:val="FB7F54F9"/>
    <w:rsid w:val="FBB3383F"/>
    <w:rsid w:val="FBEB930F"/>
    <w:rsid w:val="FBEE2606"/>
    <w:rsid w:val="FBFEC7CB"/>
    <w:rsid w:val="FC8F47A7"/>
    <w:rsid w:val="FDD77F6D"/>
    <w:rsid w:val="FE3F7443"/>
    <w:rsid w:val="FEF4A10A"/>
    <w:rsid w:val="FFAD7A1D"/>
    <w:rsid w:val="FFAFA363"/>
    <w:rsid w:val="FFEF79F5"/>
    <w:rsid w:val="FFF76C9D"/>
    <w:rsid w:val="FFFBA5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360" w:lineRule="auto"/>
      <w:jc w:val="both"/>
    </w:pPr>
    <w:rPr>
      <w:rFonts w:ascii="Times New Roman" w:hAnsi="Times New Roman" w:eastAsia="宋体" w:cstheme="minorBidi"/>
      <w:kern w:val="2"/>
      <w:sz w:val="22"/>
      <w:szCs w:val="24"/>
      <w:lang w:val="en-US" w:eastAsia="zh-CN" w:bidi="ar-SA"/>
      <w14:ligatures w14:val="standardContextual"/>
    </w:rPr>
  </w:style>
  <w:style w:type="paragraph" w:styleId="2">
    <w:name w:val="heading 1"/>
    <w:basedOn w:val="1"/>
    <w:next w:val="1"/>
    <w:link w:val="14"/>
    <w:autoRedefine/>
    <w:qFormat/>
    <w:uiPriority w:val="9"/>
    <w:pPr>
      <w:keepNext/>
      <w:keepLines/>
      <w:numPr>
        <w:ilvl w:val="0"/>
        <w:numId w:val="1"/>
      </w:numPr>
      <w:outlineLvl w:val="0"/>
    </w:pPr>
    <w:rPr>
      <w:b/>
      <w:bCs/>
      <w:kern w:val="44"/>
      <w:szCs w:val="44"/>
    </w:rPr>
  </w:style>
  <w:style w:type="paragraph" w:styleId="3">
    <w:name w:val="heading 2"/>
    <w:basedOn w:val="1"/>
    <w:next w:val="1"/>
    <w:link w:val="15"/>
    <w:autoRedefine/>
    <w:unhideWhenUsed/>
    <w:qFormat/>
    <w:uiPriority w:val="9"/>
    <w:pPr>
      <w:keepNext/>
      <w:keepLines/>
      <w:numPr>
        <w:ilvl w:val="1"/>
        <w:numId w:val="1"/>
      </w:numPr>
      <w:outlineLvl w:val="1"/>
    </w:pPr>
    <w:rPr>
      <w:rFonts w:cstheme="majorBidi"/>
      <w:b/>
      <w:bCs/>
      <w:szCs w:val="32"/>
    </w:rPr>
  </w:style>
  <w:style w:type="paragraph" w:styleId="4">
    <w:name w:val="heading 3"/>
    <w:basedOn w:val="1"/>
    <w:next w:val="1"/>
    <w:link w:val="16"/>
    <w:autoRedefine/>
    <w:unhideWhenUsed/>
    <w:qFormat/>
    <w:uiPriority w:val="9"/>
    <w:pPr>
      <w:keepNext/>
      <w:keepLines/>
      <w:numPr>
        <w:ilvl w:val="2"/>
        <w:numId w:val="1"/>
      </w:numPr>
      <w:outlineLvl w:val="2"/>
    </w:pPr>
    <w:rPr>
      <w:b/>
      <w:bCs/>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8"/>
    <w:unhideWhenUsed/>
    <w:qFormat/>
    <w:uiPriority w:val="99"/>
    <w:pPr>
      <w:tabs>
        <w:tab w:val="center" w:pos="4153"/>
        <w:tab w:val="right" w:pos="8306"/>
      </w:tabs>
      <w:snapToGrid w:val="0"/>
      <w:spacing w:line="240" w:lineRule="auto"/>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9">
    <w:name w:val="Title"/>
    <w:basedOn w:val="1"/>
    <w:next w:val="1"/>
    <w:link w:val="13"/>
    <w:qFormat/>
    <w:uiPriority w:val="10"/>
    <w:pPr>
      <w:spacing w:before="240" w:after="60"/>
      <w:jc w:val="center"/>
      <w:outlineLvl w:val="0"/>
    </w:pPr>
    <w:rPr>
      <w:rFonts w:cstheme="majorBidi"/>
      <w:b/>
      <w:bCs/>
      <w:sz w:val="28"/>
      <w:szCs w:val="32"/>
    </w:rPr>
  </w:style>
  <w:style w:type="character" w:styleId="12">
    <w:name w:val="Strong"/>
    <w:basedOn w:val="11"/>
    <w:qFormat/>
    <w:uiPriority w:val="22"/>
    <w:rPr>
      <w:b/>
    </w:rPr>
  </w:style>
  <w:style w:type="character" w:customStyle="1" w:styleId="13">
    <w:name w:val="标题 字符"/>
    <w:basedOn w:val="11"/>
    <w:link w:val="9"/>
    <w:qFormat/>
    <w:uiPriority w:val="10"/>
    <w:rPr>
      <w:rFonts w:ascii="Times New Roman" w:hAnsi="Times New Roman" w:eastAsia="宋体" w:cstheme="majorBidi"/>
      <w:b/>
      <w:bCs/>
      <w:sz w:val="28"/>
      <w:szCs w:val="32"/>
    </w:rPr>
  </w:style>
  <w:style w:type="character" w:customStyle="1" w:styleId="14">
    <w:name w:val="标题 1 字符"/>
    <w:basedOn w:val="11"/>
    <w:link w:val="2"/>
    <w:qFormat/>
    <w:uiPriority w:val="9"/>
    <w:rPr>
      <w:rFonts w:ascii="Times New Roman" w:hAnsi="Times New Roman" w:eastAsia="宋体"/>
      <w:b/>
      <w:bCs/>
      <w:kern w:val="44"/>
      <w:szCs w:val="44"/>
    </w:rPr>
  </w:style>
  <w:style w:type="character" w:customStyle="1" w:styleId="15">
    <w:name w:val="标题 2 字符"/>
    <w:basedOn w:val="11"/>
    <w:link w:val="3"/>
    <w:qFormat/>
    <w:uiPriority w:val="9"/>
    <w:rPr>
      <w:rFonts w:ascii="Times New Roman" w:hAnsi="Times New Roman" w:eastAsia="宋体" w:cstheme="majorBidi"/>
      <w:b/>
      <w:bCs/>
      <w:szCs w:val="32"/>
    </w:rPr>
  </w:style>
  <w:style w:type="character" w:customStyle="1" w:styleId="16">
    <w:name w:val="标题 3 字符"/>
    <w:basedOn w:val="11"/>
    <w:link w:val="4"/>
    <w:qFormat/>
    <w:uiPriority w:val="9"/>
    <w:rPr>
      <w:rFonts w:ascii="Times New Roman" w:hAnsi="Times New Roman" w:eastAsia="宋体"/>
      <w:b/>
      <w:bCs/>
      <w:szCs w:val="32"/>
    </w:rPr>
  </w:style>
  <w:style w:type="character" w:customStyle="1" w:styleId="17">
    <w:name w:val="页眉 字符"/>
    <w:basedOn w:val="11"/>
    <w:link w:val="7"/>
    <w:qFormat/>
    <w:uiPriority w:val="99"/>
    <w:rPr>
      <w:rFonts w:ascii="Times New Roman" w:hAnsi="Times New Roman" w:eastAsia="宋体"/>
      <w:sz w:val="18"/>
      <w:szCs w:val="18"/>
    </w:rPr>
  </w:style>
  <w:style w:type="character" w:customStyle="1" w:styleId="18">
    <w:name w:val="页脚 字符"/>
    <w:basedOn w:val="11"/>
    <w:link w:val="6"/>
    <w:qFormat/>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167</Words>
  <Characters>953</Characters>
  <Lines>1</Lines>
  <Paragraphs>1</Paragraphs>
  <TotalTime>6</TotalTime>
  <ScaleCrop>false</ScaleCrop>
  <LinksUpToDate>false</LinksUpToDate>
  <CharactersWithSpaces>1118</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2025-05-17T15:26:00Z</dcterms:created>
  <dc:creator>Zhongjun Ma</dc:creator>
  <cp:lastModifiedBy>徐乐融(2023310552)</cp:lastModifiedBy>
  <dcterms:modified xsi:type="dcterms:W3CDTF">2026-03-25T10:10:12Z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A873DF46F180845A9AA31A69153B4941_43</vt:lpwstr>
  </property>
</Properties>
</file>