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/>
          <w:b/>
          <w:color w:val="1F3864"/>
          <w:sz w:val="36"/>
        </w:rPr>
        <w:t>宁波怡丰汇商业项目投资分析报告</w:t>
      </w:r>
    </w:p>
    <w:p>
      <w:pPr>
        <w:jc w:val="center"/>
      </w:pPr>
      <w:r>
        <w:rPr>
          <w:rFonts w:ascii="微软雅黑" w:hAnsi="微软雅黑"/>
          <w:b w:val="0"/>
          <w:color w:val="2E75B6"/>
          <w:sz w:val="26"/>
        </w:rPr>
        <w:t>工程经济学 2025 Case Study</w:t>
      </w:r>
    </w:p>
    <w:p/>
    <w:p>
      <w:pPr>
        <w:pStyle w:val="Heading1"/>
        <w:spacing w:before="240" w:after="80"/>
      </w:pPr>
      <w:r>
        <w:rPr>
          <w:rFonts w:ascii="微软雅黑" w:hAnsi="微软雅黑"/>
          <w:b/>
          <w:color w:val="1F3864"/>
          <w:sz w:val="28"/>
        </w:rPr>
        <w:t>Step 1：建立现金流模型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基于Excel文件提供的基础假设，本报告以2026年1月1日为期初（Period 0），构建了以下结构的年度现金流模型。</w:t>
      </w:r>
    </w:p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1.1  项目时间线与现金流结构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【期初 Period 0】2026年1月1日：一次性支付全部投资成本（收购对价、契税、其他费用、开业成本）</w:t>
      </w:r>
    </w:p>
    <w:p>
      <w:pPr>
        <w:spacing w:before="40" w:after="40"/>
        <w:ind w:left="283"/>
      </w:pPr>
      <w:r>
        <w:rPr>
          <w:rFonts w:ascii="微软雅黑" w:hAnsi="微软雅黑"/>
          <w:b w:val="0"/>
          <w:sz w:val="22"/>
        </w:rPr>
        <w:t>【改造期 2026年】：4月1日开业，设3个月免租期（4–6月），7月起正式收取租金；运营时间合计9个月（275天）</w:t>
      </w:r>
    </w:p>
    <w:p>
      <w:pPr>
        <w:spacing w:before="40" w:after="40"/>
        <w:ind w:left="283"/>
      </w:pPr>
      <w:r>
        <w:rPr>
          <w:rFonts w:ascii="微软雅黑" w:hAnsi="微软雅黑"/>
          <w:b w:val="0"/>
          <w:sz w:val="22"/>
        </w:rPr>
        <w:t>【稳定期 2027–2029年】：全年运营，出租率95%，2029年租金增长3%</w:t>
      </w:r>
    </w:p>
    <w:p>
      <w:pPr>
        <w:spacing w:before="40" w:after="40"/>
        <w:ind w:left="283"/>
      </w:pPr>
      <w:r>
        <w:rPr>
          <w:rFonts w:ascii="微软雅黑" w:hAnsi="微软雅黑"/>
          <w:b w:val="0"/>
          <w:sz w:val="22"/>
        </w:rPr>
        <w:t>【退出 2029年12月31日】：以永续年金模型（i=8%）计算退出价值（不计税）</w:t>
      </w:r>
    </w:p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1.2  年度现金流汇总（单位：万元）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5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1417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2026年</w:t>
            </w:r>
          </w:p>
        </w:tc>
        <w:tc>
          <w:tcPr>
            <w:tcW w:type="dxa" w:w="1417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2027年</w:t>
            </w:r>
          </w:p>
        </w:tc>
        <w:tc>
          <w:tcPr>
            <w:tcW w:type="dxa" w:w="1417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2028年</w:t>
            </w:r>
          </w:p>
        </w:tc>
        <w:tc>
          <w:tcPr>
            <w:tcW w:type="dxa" w:w="1417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2029年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出租率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80%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95%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95%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95%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── 收入 ──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租金收入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2298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5413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5413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5575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停车费收入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249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396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462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528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物业费收入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451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714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714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714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营业收入合计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2998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6523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6589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6818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── 成本 ──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运营成本合计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1527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2090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2102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2105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── 利润 ──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营业利润（税前）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1470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4433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4487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4712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企业所得税（25%）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368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1108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1122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1178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税后净现金流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1103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3325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3365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3534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退出价值（永续年金）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44178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年度总CF（含退出）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1103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3325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3365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47713</w:t>
            </w:r>
          </w:p>
        </w:tc>
      </w:tr>
    </w:tbl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1.3  2026年季度现金流分析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问题一：现金流能否逐季度改善？</w:t>
      </w:r>
    </w:p>
    <w:p>
      <w:pPr>
        <w:spacing w:before="40" w:after="40"/>
        <w:ind w:left="0"/>
      </w:pPr>
      <w:r>
        <w:rPr>
          <w:rFonts w:ascii="微软雅黑" w:hAnsi="微软雅黑"/>
          <w:b/>
          <w:sz w:val="22"/>
        </w:rPr>
        <w:t>是的，2026年运营现金流呈现显著的季度递增趋势：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季度</w:t>
            </w:r>
          </w:p>
        </w:tc>
        <w:tc>
          <w:tcPr>
            <w:tcW w:type="dxa" w:w="3402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主要特征</w:t>
            </w:r>
          </w:p>
        </w:tc>
        <w:tc>
          <w:tcPr>
            <w:tcW w:type="dxa" w:w="1134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收入(万元)</w:t>
            </w:r>
          </w:p>
        </w:tc>
        <w:tc>
          <w:tcPr>
            <w:tcW w:type="dxa" w:w="1134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成本(万元)</w:t>
            </w:r>
          </w:p>
        </w:tc>
        <w:tc>
          <w:tcPr>
            <w:tcW w:type="dxa" w:w="1701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税前利润(万元)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Q1（1–3月）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改造收购期，无运营收入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Q2（4–6月）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开业+免租期，停车费82万+物业费150万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489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-256（税前，含年度税后调整）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Q3（7–9月）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租金开始收取，收入大幅提升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1382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523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860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Q4（10–12月）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同Q3，平稳运营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1382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523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860</w:t>
            </w:r>
          </w:p>
        </w:tc>
      </w:tr>
    </w:tbl>
    <w:p>
      <w:pPr>
        <w:spacing w:before="80" w:after="40"/>
        <w:ind w:left="0"/>
      </w:pPr>
      <w:r>
        <w:rPr>
          <w:rFonts w:ascii="微软雅黑" w:hAnsi="微软雅黑"/>
          <w:b w:val="0"/>
          <w:sz w:val="20"/>
        </w:rPr>
        <w:t>免租期（Q2）由于成本已按比例摊入但租金为零，税前经营利润为负（约-256万元）。进入Q3后，租金收入贡献约1149万元/季度，现金流大幅改善。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问题二：改造期与稳定期现金流差异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0"/>
        </w:rPr>
        <w:t>改造期2026年税后净现金流约 1103 万元，稳定期2027年约 3325 万元，差距约 2222 万元（约202% 增幅）。主要原因：①2026年仅9个月运营且含3个月免租，②出租率从80%提升至95%，③停车费利用率提高。</w:t>
      </w:r>
    </w:p>
    <w:p>
      <w:pPr>
        <w:pStyle w:val="Heading1"/>
        <w:spacing w:before="240" w:after="80"/>
      </w:pPr>
      <w:r>
        <w:rPr>
          <w:rFonts w:ascii="微软雅黑" w:hAnsi="微软雅黑"/>
          <w:b/>
          <w:color w:val="1F3864"/>
          <w:sz w:val="28"/>
        </w:rPr>
        <w:t>Step 2：收购价格估算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以MARR=12%为基准，令NPV=0，反推合理收购对价。计算公式为：</w:t>
      </w:r>
    </w:p>
    <w:p>
      <w:pPr>
        <w:spacing w:before="40" w:after="40"/>
        <w:ind w:left="283"/>
      </w:pPr>
      <w:r>
        <w:rPr>
          <w:rFonts w:ascii="微软雅黑" w:hAnsi="微软雅黑"/>
          <w:b/>
          <w:sz w:val="22"/>
        </w:rPr>
        <w:t>NPV = -[P×(1+3%) + 1,100万 + 1,000万] + Σ CFₜ/(1.12)ᵗ =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时间节点</w:t>
            </w:r>
          </w:p>
        </w:tc>
        <w:tc>
          <w:tcPr>
            <w:tcW w:type="dxa" w:w="1984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年度总CF（万元）</w:t>
            </w:r>
          </w:p>
        </w:tc>
        <w:tc>
          <w:tcPr>
            <w:tcW w:type="dxa" w:w="1701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折现系数(12%)</w:t>
            </w:r>
          </w:p>
        </w:tc>
        <w:tc>
          <w:tcPr>
            <w:tcW w:type="dxa" w:w="1701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现值（万元）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t=1（2026年）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1103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0.8929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985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t=2（2027年）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3325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0.7972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2650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t=3（2028年）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3365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0.7118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2395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t=4（2029年）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47713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0.6355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30322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未来CF现值合计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36352</w:t>
            </w:r>
          </w:p>
        </w:tc>
      </w:tr>
    </w:tbl>
    <w:p/>
    <w:p>
      <w:pPr>
        <w:spacing w:before="40" w:after="40"/>
        <w:ind w:left="0"/>
      </w:pPr>
      <w:r>
        <w:rPr>
          <w:rFonts w:ascii="微软雅黑" w:hAnsi="微软雅黑"/>
          <w:b/>
          <w:sz w:val="22"/>
        </w:rPr>
        <w:t>由此推导：P = (现值合计 − 其他费用 − 开业成本) / 1.03 = (36352 − 1,100 − 1,000) / 1.03 ≈ **33255 万元（约 3.33 亿元）**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总投资额（含契税、其他费用和开业成本）：约 36352 万元（3.64 亿元）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0"/>
        </w:rPr>
        <w:t>建议收购价格区间：30594–35915万元（±8%弹性空间，对应不同风险溢价与谈判空间）。</w:t>
      </w:r>
    </w:p>
    <w:p>
      <w:pPr>
        <w:pStyle w:val="Heading1"/>
        <w:spacing w:before="240" w:after="80"/>
      </w:pPr>
      <w:r>
        <w:rPr>
          <w:rFonts w:ascii="微软雅黑" w:hAnsi="微软雅黑"/>
          <w:b/>
          <w:color w:val="1F3864"/>
          <w:sz w:val="28"/>
        </w:rPr>
        <w:t>Step 3：敏感性分析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商业地产的核心不确定性来自出租率和租金水平。以下分析改变稳定期出租率（2027–2029）和2029年租金增长率，观察收购价格的变化。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出租率 / 租金增长率</w:t>
            </w:r>
          </w:p>
        </w:tc>
        <w:tc>
          <w:tcPr>
            <w:tcW w:type="dxa" w:w="1520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-3%</w:t>
            </w:r>
          </w:p>
        </w:tc>
        <w:tc>
          <w:tcPr>
            <w:tcW w:type="dxa" w:w="1520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0%</w:t>
            </w:r>
          </w:p>
        </w:tc>
        <w:tc>
          <w:tcPr>
            <w:tcW w:type="dxa" w:w="1520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3%</w:t>
            </w:r>
          </w:p>
        </w:tc>
        <w:tc>
          <w:tcPr>
            <w:tcW w:type="dxa" w:w="1520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5%</w:t>
            </w:r>
          </w:p>
        </w:tc>
        <w:tc>
          <w:tcPr>
            <w:tcW w:type="dxa" w:w="1520"/>
            <w:shd w:fill="2E75B6" w:color="FFFFFF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8%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70%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19954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20683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21412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21898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22626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75%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22218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22999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23780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24301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25082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80%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24483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25316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26149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26704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27537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85%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26747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27632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28517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29107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29992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90%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29012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29949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30886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31511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32448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95%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31276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32265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33255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33914</w:t>
            </w:r>
          </w:p>
        </w:tc>
        <w:tc>
          <w:tcPr>
            <w:tcW w:type="dxa" w:w="1520"/>
          </w:tcPr>
          <w:p>
            <w:pPr>
              <w:jc w:val="right"/>
            </w:pPr>
            <w:r>
              <w:rPr>
                <w:rFonts w:ascii="微软雅黑" w:hAnsi="微软雅黑"/>
                <w:sz w:val="20"/>
              </w:rPr>
              <w:t>34903</w:t>
            </w:r>
          </w:p>
        </w:tc>
      </w:tr>
    </w:tbl>
    <w:p>
      <w:pPr>
        <w:spacing w:before="40" w:after="40"/>
        <w:ind w:left="0"/>
      </w:pPr>
      <w:r>
        <w:rPr>
          <w:rFonts w:ascii="微软雅黑" w:hAnsi="微软雅黑"/>
          <w:b w:val="0"/>
          <w:sz w:val="18"/>
        </w:rPr>
        <w:t>注：表中数字为建议收购对价（万元）；★标记基准情形（95%, 3%）。</w:t>
      </w:r>
    </w:p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3.1  关键结论</w:t>
      </w:r>
    </w:p>
    <w:p>
      <w:pPr>
        <w:pStyle w:val="ListBullet"/>
      </w:pPr>
      <w:r>
        <w:rPr>
          <w:rFonts w:ascii="微软雅黑" w:hAnsi="微软雅黑"/>
          <w:b w:val="0"/>
          <w:sz w:val="20"/>
        </w:rPr>
        <w:t>出租率对价格影响最为显著：从70%提升至95%，建议收购价差距超过11843万元（约55%）。</w:t>
      </w:r>
    </w:p>
    <w:p>
      <w:pPr>
        <w:pStyle w:val="ListBullet"/>
      </w:pPr>
      <w:r>
        <w:rPr>
          <w:rFonts w:ascii="微软雅黑" w:hAnsi="微软雅黑"/>
          <w:b w:val="0"/>
          <w:sz w:val="20"/>
        </w:rPr>
        <w:t>出租率每变动5%，收购价格约变动2369万元。</w:t>
      </w:r>
    </w:p>
    <w:p>
      <w:pPr>
        <w:pStyle w:val="ListBullet"/>
      </w:pPr>
      <w:r>
        <w:rPr>
          <w:rFonts w:ascii="微软雅黑" w:hAnsi="微软雅黑"/>
          <w:b w:val="0"/>
          <w:sz w:val="20"/>
        </w:rPr>
        <w:t>租金增长率对价格影响相对较小：从0%升至5%，价格仅增约1649万元（5%），因其仅在2029年生效且经8%资本化率放大。</w:t>
      </w:r>
    </w:p>
    <w:p>
      <w:pPr>
        <w:pStyle w:val="ListBullet"/>
      </w:pPr>
      <w:r>
        <w:rPr>
          <w:rFonts w:ascii="微软雅黑" w:hAnsi="微软雅黑"/>
          <w:b w:val="0"/>
          <w:sz w:val="20"/>
        </w:rPr>
        <w:t>最悲观情形（出租率70%，租金不增长）：建议收购价约20683万元，比基准低约12572万元。</w:t>
      </w:r>
    </w:p>
    <w:p>
      <w:pPr>
        <w:pStyle w:val="ListBullet"/>
      </w:pPr>
      <w:r>
        <w:rPr>
          <w:rFonts w:ascii="微软雅黑" w:hAnsi="微软雅黑"/>
          <w:b w:val="0"/>
          <w:sz w:val="20"/>
        </w:rPr>
        <w:t>投资风险点：由于退出价值（永续年金）占总现值的122%，退出资本化率（i=8%）的变动对估值影响极大。若市场出清时i升至10%，退出价值将下降20%，建议收购价格需相应下调。</w:t>
      </w:r>
    </w:p>
    <w:p>
      <w:pPr>
        <w:pStyle w:val="Heading1"/>
        <w:spacing w:before="240" w:after="80"/>
      </w:pPr>
      <w:r>
        <w:rPr>
          <w:rFonts w:ascii="微软雅黑" w:hAnsi="微软雅黑"/>
          <w:b/>
          <w:color w:val="1F3864"/>
          <w:sz w:val="28"/>
        </w:rPr>
        <w:t>Step 4：开放性思考</w:t>
      </w:r>
    </w:p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4.1  项目面临的潜在风险</w:t>
      </w:r>
    </w:p>
    <w:p>
      <w:pPr>
        <w:spacing w:after="80"/>
        <w:ind w:left="170"/>
      </w:pPr>
      <w:r>
        <w:rPr>
          <w:rFonts w:ascii="微软雅黑" w:hAnsi="微软雅黑"/>
          <w:b/>
          <w:color w:val="1F3864"/>
          <w:sz w:val="20"/>
        </w:rPr>
        <w:t>【招商执行风险】</w:t>
      </w:r>
      <w:r>
        <w:rPr>
          <w:rFonts w:ascii="微软雅黑" w:hAnsi="微软雅黑"/>
          <w:b w:val="0"/>
          <w:sz w:val="20"/>
        </w:rPr>
        <w:t xml:space="preserve"> 商场当前出租率仅30%，历史上基本处于半停业状态，品牌信心不足。模型假设开业即达80%出租率，但实际招商周期可能延长2–4个月，导致首年现金流不足。建议在谈判中将收购价格与招商完成度挂钩。</w:t>
      </w:r>
    </w:p>
    <w:p>
      <w:pPr>
        <w:spacing w:after="80"/>
        <w:ind w:left="170"/>
      </w:pPr>
      <w:r>
        <w:rPr>
          <w:rFonts w:ascii="微软雅黑" w:hAnsi="微软雅黑"/>
          <w:b/>
          <w:color w:val="1F3864"/>
          <w:sz w:val="20"/>
        </w:rPr>
        <w:t>【主力店流失风险】</w:t>
      </w:r>
      <w:r>
        <w:rPr>
          <w:rFonts w:ascii="微软雅黑" w:hAnsi="微软雅黑"/>
          <w:b w:val="0"/>
          <w:sz w:val="20"/>
        </w:rPr>
        <w:t xml:space="preserve"> 影院（如万达影城、CGV）、健身（如超级猩猩、Keep线下店）为典型主力店，能带动全场客流，但经营波动大：疫情或消费降级时租金拖欠概率高。建议单一主力租户的面积占比控制在15%以内，并在合同中约定保底租金。</w:t>
      </w:r>
    </w:p>
    <w:p>
      <w:pPr>
        <w:spacing w:after="80"/>
        <w:ind w:left="170"/>
      </w:pPr>
      <w:r>
        <w:rPr>
          <w:rFonts w:ascii="微软雅黑" w:hAnsi="微软雅黑"/>
          <w:b/>
          <w:color w:val="1F3864"/>
          <w:sz w:val="20"/>
        </w:rPr>
        <w:t>【区域竞争加剧】</w:t>
      </w:r>
      <w:r>
        <w:rPr>
          <w:rFonts w:ascii="微软雅黑" w:hAnsi="微软雅黑"/>
          <w:b w:val="0"/>
          <w:sz w:val="20"/>
        </w:rPr>
        <w:t xml:space="preserve"> 周边已有凯德、九龙仓、华润等成熟商业体，江北区3公里内未来可能还有新竞品入市。社区型商场必须保持差异化定位，否则客流难以支撑目标出租率。</w:t>
      </w:r>
    </w:p>
    <w:p>
      <w:pPr>
        <w:spacing w:after="80"/>
        <w:ind w:left="170"/>
      </w:pPr>
      <w:r>
        <w:rPr>
          <w:rFonts w:ascii="微软雅黑" w:hAnsi="微软雅黑"/>
          <w:b/>
          <w:color w:val="1F3864"/>
          <w:sz w:val="20"/>
        </w:rPr>
        <w:t>【退出流动性风险】</w:t>
      </w:r>
      <w:r>
        <w:rPr>
          <w:rFonts w:ascii="微软雅黑" w:hAnsi="微软雅黑"/>
          <w:b w:val="0"/>
          <w:sz w:val="20"/>
        </w:rPr>
        <w:t xml:space="preserve"> 模型中退出价值占现值的122%，极度依赖2029年能否找到合适买方。若届时大宗商业物业市场流动性差，或资本化率由8%升至10%，退出价值将下降约8836万元，直接影响IRR。</w:t>
      </w:r>
    </w:p>
    <w:p>
      <w:pPr>
        <w:spacing w:after="80"/>
        <w:ind w:left="170"/>
      </w:pPr>
      <w:r>
        <w:rPr>
          <w:rFonts w:ascii="微软雅黑" w:hAnsi="微软雅黑"/>
          <w:b/>
          <w:color w:val="1F3864"/>
          <w:sz w:val="20"/>
        </w:rPr>
        <w:t>【地铁通车不确定性】</w:t>
      </w:r>
      <w:r>
        <w:rPr>
          <w:rFonts w:ascii="微软雅黑" w:hAnsi="微软雅黑"/>
          <w:b w:val="0"/>
          <w:sz w:val="20"/>
        </w:rPr>
        <w:t xml:space="preserve"> 8号线预计2026年通车，若延期，开业初期客流支撑力减弱，直接影响80%出租率假设。</w:t>
      </w:r>
    </w:p>
    <w:p>
      <w:pPr>
        <w:spacing w:after="80"/>
        <w:ind w:left="170"/>
      </w:pPr>
      <w:r>
        <w:rPr>
          <w:rFonts w:ascii="微软雅黑" w:hAnsi="微软雅黑"/>
          <w:b/>
          <w:color w:val="1F3864"/>
          <w:sz w:val="20"/>
        </w:rPr>
        <w:t>【物业改造成本超支】</w:t>
      </w:r>
      <w:r>
        <w:rPr>
          <w:rFonts w:ascii="微软雅黑" w:hAnsi="微软雅黑"/>
          <w:b w:val="0"/>
          <w:sz w:val="20"/>
        </w:rPr>
        <w:t xml:space="preserve"> 模型中资本性改造按租金收入的2.5%计提，但若前期招商需大规模重新分割楼层或更换设施，实际capex可能大幅超支，影响首年现金流。</w:t>
      </w:r>
    </w:p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4.2  运营策略与业态选择建议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2"/>
        </w:rPr>
        <w:t>若由我负责商场运营与招商，将按以下逻辑构建业态组合，兼顾稳定现金流与客流支撑：</w:t>
      </w:r>
    </w:p>
    <w:p>
      <w:pPr>
        <w:spacing w:after="100"/>
        <w:ind w:left="170"/>
      </w:pPr>
      <w:r>
        <w:rPr>
          <w:rFonts w:ascii="微软雅黑" w:hAnsi="微软雅黑"/>
          <w:b/>
          <w:color w:val="2E75B6"/>
          <w:sz w:val="20"/>
        </w:rPr>
        <w:t>▶ B1/B2（超市+餐饮集合）：</w:t>
      </w:r>
      <w:r>
        <w:rPr>
          <w:rFonts w:ascii="微软雅黑" w:hAnsi="微软雅黑"/>
          <w:b w:val="0"/>
          <w:sz w:val="20"/>
        </w:rPr>
        <w:t>引入知名生鲜超市（如盒马、大润发奥莱）作为全楼流量发动机，同时在B1设置小吃/快餐集合区（日式、中式、东南亚）。社区超市具有极高出行频率，可为全楼提供稳定基础客流；且其通常愿意签订5–10年长期合同，保证了现金流稳定性。</w:t>
      </w:r>
    </w:p>
    <w:p>
      <w:pPr>
        <w:spacing w:after="100"/>
        <w:ind w:left="170"/>
      </w:pPr>
      <w:r>
        <w:rPr>
          <w:rFonts w:ascii="微软雅黑" w:hAnsi="微软雅黑"/>
          <w:b/>
          <w:color w:val="2E75B6"/>
          <w:sz w:val="20"/>
        </w:rPr>
        <w:t>▶ 1层（商业价值最高）：</w:t>
      </w:r>
      <w:r>
        <w:rPr>
          <w:rFonts w:ascii="微软雅黑" w:hAnsi="微软雅黑"/>
          <w:b w:val="0"/>
          <w:sz w:val="20"/>
        </w:rPr>
        <w:t>主打具有IP属性的餐饮旗舰（如网红咖啡、烘焙甜品）和快时尚品牌，通过高曝光率提升形象与租金。优先选择知名连锁（需支付保底），避免过度依赖单一餐饮品牌。</w:t>
      </w:r>
    </w:p>
    <w:p>
      <w:pPr>
        <w:spacing w:after="100"/>
        <w:ind w:left="170"/>
      </w:pPr>
      <w:r>
        <w:rPr>
          <w:rFonts w:ascii="微软雅黑" w:hAnsi="微软雅黑"/>
          <w:b/>
          <w:color w:val="2E75B6"/>
          <w:sz w:val="20"/>
        </w:rPr>
        <w:t>▶ 2–3层（体验消费核心层）：</w:t>
      </w:r>
      <w:r>
        <w:rPr>
          <w:rFonts w:ascii="微软雅黑" w:hAnsi="微软雅黑"/>
          <w:b w:val="0"/>
          <w:sz w:val="20"/>
        </w:rPr>
        <w:t>设置儿童教育综合体（早教+素质拓展）和亲子零售（玩具+服装），精准对接周边高密度家庭客群，且该业态受电商冲击较小。可搭配美甲、美容等生活美学类，形成"周末家庭日"场景。</w:t>
      </w:r>
    </w:p>
    <w:p>
      <w:pPr>
        <w:spacing w:after="100"/>
        <w:ind w:left="170"/>
      </w:pPr>
      <w:r>
        <w:rPr>
          <w:rFonts w:ascii="微软雅黑" w:hAnsi="微软雅黑"/>
          <w:b/>
          <w:color w:val="2E75B6"/>
          <w:sz w:val="20"/>
        </w:rPr>
        <w:t>▶ 4层（运动健康）：</w:t>
      </w:r>
      <w:r>
        <w:rPr>
          <w:rFonts w:ascii="微软雅黑" w:hAnsi="微软雅黑"/>
          <w:b w:val="0"/>
          <w:sz w:val="20"/>
        </w:rPr>
        <w:t>引入1家中等规模专业健身中心（1,500–2,000㎡），搭配运动品牌零售（LULULEMON、Decathlon等）。注意控制单一健身品牌面积，避免过度集中风险。</w:t>
      </w:r>
    </w:p>
    <w:p>
      <w:pPr>
        <w:spacing w:after="100"/>
        <w:ind w:left="170"/>
      </w:pPr>
      <w:r>
        <w:rPr>
          <w:rFonts w:ascii="微软雅黑" w:hAnsi="微软雅黑"/>
          <w:b/>
          <w:color w:val="2E75B6"/>
          <w:sz w:val="20"/>
        </w:rPr>
        <w:t>▶ 5–6层（文化娱乐/可持续）：</w:t>
      </w:r>
      <w:r>
        <w:rPr>
          <w:rFonts w:ascii="微软雅黑" w:hAnsi="微软雅黑"/>
          <w:b w:val="0"/>
          <w:sz w:val="20"/>
        </w:rPr>
        <w:t>5层保留给小型影院或体验式展览空间，5–6层可作为弹性办公或创业孵化器（低租金但稳定，且能带来日常消费人流）。顶层露天区打造特色市集/快闪，增加社交媒体曝光。</w:t>
      </w:r>
    </w:p>
    <w:p>
      <w:pPr>
        <w:spacing w:after="100"/>
        <w:ind w:left="170"/>
      </w:pPr>
      <w:r>
        <w:rPr>
          <w:rFonts w:ascii="微软雅黑" w:hAnsi="微软雅黑"/>
          <w:b/>
          <w:color w:val="2E75B6"/>
          <w:sz w:val="20"/>
        </w:rPr>
        <w:t>▶ 核心招商原则：</w:t>
      </w:r>
      <w:r>
        <w:rPr>
          <w:rFonts w:ascii="微软雅黑" w:hAnsi="微软雅黑"/>
          <w:b w:val="0"/>
          <w:sz w:val="20"/>
        </w:rPr>
        <w:t>①锁定长约（主力店≥5年），优化现金流可预测性；②控制单一业态集中度（不超过20%面积）；③优先选择线下不可替代的业态（体验、服务、生鲜）；④保留10%灵活铺位用于快闪和试验性品牌，提升话题热度。</w:t>
      </w:r>
    </w:p>
    <w:p>
      <w:pPr>
        <w:pStyle w:val="Heading2"/>
        <w:spacing w:before="240" w:after="80"/>
      </w:pPr>
      <w:r>
        <w:rPr>
          <w:rFonts w:ascii="微软雅黑" w:hAnsi="微软雅黑"/>
          <w:b/>
          <w:color w:val="1F3864"/>
          <w:sz w:val="24"/>
        </w:rPr>
        <w:t>4.3  综合投资可行性判断</w:t>
      </w:r>
    </w:p>
    <w:p>
      <w:pPr>
        <w:spacing w:before="40" w:after="40"/>
        <w:ind w:left="0"/>
      </w:pPr>
      <w:r>
        <w:rPr>
          <w:rFonts w:ascii="微软雅黑" w:hAnsi="微软雅黑"/>
          <w:b w:val="0"/>
          <w:sz w:val="20"/>
        </w:rPr>
        <w:t>在基准假设下（出租率95%、2029年租金增长3%），建议收购对价约 33255 万元（3.33亿元）。项目具备以下优势：区位成熟、地铁赋能确定、周边人口密度高、当前估值处于历史低位（出租率仅30%，上行空间明显）。主要风险在于招商执行难度大、首年现金流较薄（仅约1103万元），以及退出高度依赖资本市场环境。</w:t>
      </w:r>
    </w:p>
    <w:p>
      <w:pPr>
        <w:spacing w:before="40" w:after="40"/>
        <w:ind w:left="0"/>
      </w:pPr>
      <w:r>
        <w:rPr>
          <w:rFonts w:ascii="微软雅黑" w:hAnsi="微软雅黑"/>
          <w:b/>
          <w:sz w:val="20"/>
        </w:rPr>
        <w:t>综合判断：若能以低于建议价约5–10%完成交割（以80%出租率情景作为保守定价基准），结合专业商管团队的运营改善，该项目具备合理的风险收益比，建议在尽调确认产权清晰、无重大租户纠纷后，按敏感性分析下限作为谈判锚定价格推进交易。</w:t>
      </w:r>
    </w:p>
    <w:p/>
    <w:p>
      <w:r>
        <w:rPr>
          <w:rFonts w:ascii="微软雅黑" w:hAnsi="微软雅黑"/>
          <w:b w:val="0"/>
          <w:color w:val="595959"/>
          <w:sz w:val="18"/>
        </w:rPr>
        <w:t>注：本报告所有计算基于Excel文件"宁波怡丰汇投资分析.xlsx"中的财务模型，详细计算步骤见对应工作表。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