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230" w:val="clear"/>
            <w:tcMar>
              <w:top w:type="dxa" w:w="440"/>
              <w:left w:type="dxa" w:w="500"/>
              <w:bottom w:type="dxa" w:w="440"/>
              <w:right w:type="dxa" w:w="500"/>
            </w:tcMar>
          </w:tcPr>
          <w:p>
            <w:pPr>
              <w:spacing w:after="80" w:before="0"/>
              <w:jc w:val="left"/>
            </w:pPr>
            <w:r>
              <w:rPr>
                <w:rFonts w:ascii="Arial" w:cs="Arial" w:eastAsia="Arial" w:hAnsi="Arial"/>
                <w:b/>
                <w:bCs/>
                <w:color w:val="FFFFFF"/>
                <w:sz w:val="80"/>
                <w:szCs w:val="80"/>
              </w:rPr>
              <w:t xml:space="preserve">BIGBASKET</w:t>
            </w:r>
          </w:p>
          <w:p>
            <w:pPr>
              <w:spacing w:after="60" w:before="0"/>
              <w:jc w:val="left"/>
            </w:pPr>
            <w:r>
              <w:rPr>
                <w:rFonts w:ascii="Arial" w:cs="Arial" w:eastAsia="Arial" w:hAnsi="Arial"/>
                <w:b/>
                <w:bCs/>
                <w:color w:val="A8D5B5"/>
                <w:sz w:val="44"/>
                <w:szCs w:val="44"/>
              </w:rPr>
              <w:t xml:space="preserve">PRODUCT ANALYTICS</w:t>
            </w:r>
          </w:p>
          <w:p>
            <w:pPr>
              <w:spacing w:after="0" w:before="0"/>
              <w:jc w:val="left"/>
            </w:pPr>
            <w:r>
              <w:rPr>
                <w:rFonts w:ascii="Arial" w:cs="Arial" w:eastAsia="Arial" w:hAnsi="Arial"/>
                <w:i/>
                <w:iCs/>
                <w:color w:val="D0EBD8"/>
                <w:sz w:val="24"/>
                <w:szCs w:val="24"/>
              </w:rPr>
              <w:t xml:space="preserve">Pricing · Discounts · Customer Ratings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6B3A" w:val="clear"/>
            <w:tcMar>
              <w:top w:type="dxa" w:w="100"/>
              <w:left w:type="dxa" w:w="500"/>
              <w:bottom w:type="dxa" w:w="100"/>
              <w:right w:type="dxa" w:w="200"/>
            </w:tcMar>
          </w:tcPr>
          <w:p>
            <w:pPr>
              <w:spacing w:after="0" w:before="0"/>
              <w:jc w:val="left"/>
            </w:pPr>
            <w:r>
              <w:rPr>
                <w:rFonts w:ascii="Arial" w:cs="Arial" w:eastAsia="Arial" w:hAnsi="Arial"/>
                <w:b/>
                <w:bCs/>
                <w:color w:val="FFFFFF"/>
                <w:sz w:val="22"/>
                <w:szCs w:val="22"/>
              </w:rPr>
              <w:t xml:space="preserve">Data Visualization &amp; Analytics  |  Final Project Report</w:t>
            </w:r>
          </w:p>
        </w:tc>
        <w:tc>
          <w:tcPr>
            <w:tcW w:type="dxa" w:w="3080"/>
            <w:tcBorders>
              <w:top w:val="none" w:color="FFFFFF" w:sz="0"/>
              <w:left w:val="none" w:color="FFFFFF" w:sz="0"/>
              <w:bottom w:val="none" w:color="FFFFFF" w:sz="0"/>
              <w:right w:val="none" w:color="FFFFFF" w:sz="0"/>
            </w:tcBorders>
            <w:shd w:fill="2ECC71" w:val="clear"/>
            <w:tcMar>
              <w:top w:type="dxa" w:w="100"/>
              <w:left w:type="dxa" w:w="200"/>
              <w:bottom w:type="dxa" w:w="100"/>
              <w:right w:type="dxa" w:w="200"/>
            </w:tcMar>
          </w:tcPr>
          <w:p>
            <w:pPr>
              <w:spacing w:after="0" w:before="0"/>
              <w:jc w:val="right"/>
            </w:pPr>
            <w:r>
              <w:rPr>
                <w:rFonts w:ascii="Arial" w:cs="Arial" w:eastAsia="Arial" w:hAnsi="Arial"/>
                <w:color w:val="FFFFFF"/>
                <w:sz w:val="19"/>
                <w:szCs w:val="19"/>
              </w:rPr>
              <w:t xml:space="preserve">Newton School of Technology</w:t>
            </w:r>
          </w:p>
        </w:tc>
      </w:tr>
    </w:tbl>
    <w:p>
      <w:pPr>
        <w:spacing w:after="0" w:before="120"/>
        <w:jc w:val="left"/>
      </w:pPr>
      <w:r>
        <w:rPr>
          <w:rFonts w:ascii="Arial" w:cs="Arial" w:eastAsia="Arial" w:hAnsi="Arial"/>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shd w:fill="E8F5EE" w:val="clear"/>
            <w:tcMar>
              <w:top w:type="dxa" w:w="300"/>
              <w:left w:type="dxa" w:w="400"/>
              <w:bottom w:type="dxa" w:w="300"/>
              <w:right w:type="dxa" w:w="300"/>
            </w:tcMar>
          </w:tcPr>
          <w:p>
            <w:pPr>
              <w:spacing w:after="160" w:before="0"/>
              <w:jc w:val="left"/>
            </w:pPr>
            <w:r>
              <w:rPr>
                <w:rFonts w:ascii="Arial" w:cs="Arial" w:eastAsia="Arial" w:hAnsi="Arial"/>
                <w:b/>
                <w:bCs/>
                <w:color w:val="1A6B3A"/>
                <w:sz w:val="20"/>
                <w:szCs w:val="20"/>
              </w:rPr>
              <w:t xml:space="preserve">PROJECT DETAILS</w:t>
            </w:r>
          </w:p>
          <w:p>
            <w:pPr>
              <w:spacing w:after="30" w:before="60"/>
              <w:jc w:val="left"/>
            </w:pPr>
            <w:r>
              <w:rPr>
                <w:rFonts w:ascii="Arial" w:cs="Arial" w:eastAsia="Arial" w:hAnsi="Arial"/>
                <w:b/>
                <w:bCs/>
                <w:color w:val="155230"/>
                <w:sz w:val="19"/>
                <w:szCs w:val="19"/>
              </w:rPr>
              <w:t xml:space="preserve">Sector</w:t>
            </w:r>
            <w:r>
              <w:rPr>
                <w:rFonts w:ascii="Arial" w:cs="Arial" w:eastAsia="Arial" w:hAnsi="Arial"/>
                <w:color w:val="555555"/>
                <w:sz w:val="19"/>
                <w:szCs w:val="19"/>
              </w:rPr>
              <w:t xml:space="preserve">   E-Commerce / Online Grocery Retail</w:t>
            </w:r>
          </w:p>
          <w:p>
            <w:pPr>
              <w:spacing w:after="30" w:before="60"/>
              <w:jc w:val="left"/>
            </w:pPr>
            <w:r>
              <w:rPr>
                <w:rFonts w:ascii="Arial" w:cs="Arial" w:eastAsia="Arial" w:hAnsi="Arial"/>
                <w:b/>
                <w:bCs/>
                <w:color w:val="155230"/>
                <w:sz w:val="19"/>
                <w:szCs w:val="19"/>
              </w:rPr>
              <w:t xml:space="preserve">Domain</w:t>
            </w:r>
            <w:r>
              <w:rPr>
                <w:rFonts w:ascii="Arial" w:cs="Arial" w:eastAsia="Arial" w:hAnsi="Arial"/>
                <w:color w:val="555555"/>
                <w:sz w:val="19"/>
                <w:szCs w:val="19"/>
              </w:rPr>
              <w:t xml:space="preserve">   India — BigBasket Platform</w:t>
            </w:r>
          </w:p>
          <w:p>
            <w:pPr>
              <w:spacing w:after="30" w:before="60"/>
              <w:jc w:val="left"/>
            </w:pPr>
            <w:r>
              <w:rPr>
                <w:rFonts w:ascii="Arial" w:cs="Arial" w:eastAsia="Arial" w:hAnsi="Arial"/>
                <w:b/>
                <w:bCs/>
                <w:color w:val="155230"/>
                <w:sz w:val="19"/>
                <w:szCs w:val="19"/>
              </w:rPr>
              <w:t xml:space="preserve">Dataset</w:t>
            </w:r>
            <w:r>
              <w:rPr>
                <w:rFonts w:ascii="Arial" w:cs="Arial" w:eastAsia="Arial" w:hAnsi="Arial"/>
                <w:color w:val="555555"/>
                <w:sz w:val="19"/>
                <w:szCs w:val="19"/>
              </w:rPr>
              <w:t xml:space="preserve">   Kaggle – 23,000+ Product Listings</w:t>
            </w:r>
          </w:p>
          <w:p>
            <w:pPr>
              <w:spacing w:after="30" w:before="60"/>
              <w:jc w:val="left"/>
            </w:pPr>
            <w:r>
              <w:rPr>
                <w:rFonts w:ascii="Arial" w:cs="Arial" w:eastAsia="Arial" w:hAnsi="Arial"/>
                <w:b/>
                <w:bCs/>
                <w:color w:val="155230"/>
                <w:sz w:val="19"/>
                <w:szCs w:val="19"/>
              </w:rPr>
              <w:t xml:space="preserve">Tech Stack</w:t>
            </w:r>
            <w:r>
              <w:rPr>
                <w:rFonts w:ascii="Arial" w:cs="Arial" w:eastAsia="Arial" w:hAnsi="Arial"/>
                <w:color w:val="555555"/>
                <w:sz w:val="19"/>
                <w:szCs w:val="19"/>
              </w:rPr>
              <w:t xml:space="preserve">   Python · Tableau · GitHub</w:t>
            </w:r>
          </w:p>
          <w:p>
            <w:pPr>
              <w:spacing w:after="30" w:before="60"/>
              <w:jc w:val="left"/>
            </w:pPr>
            <w:r>
              <w:rPr>
                <w:rFonts w:ascii="Arial" w:cs="Arial" w:eastAsia="Arial" w:hAnsi="Arial"/>
                <w:b/>
                <w:bCs/>
                <w:color w:val="155230"/>
                <w:sz w:val="19"/>
                <w:szCs w:val="19"/>
              </w:rPr>
              <w:t xml:space="preserve">Submission</w:t>
            </w:r>
            <w:r>
              <w:rPr>
                <w:rFonts w:ascii="Arial" w:cs="Arial" w:eastAsia="Arial" w:hAnsi="Arial"/>
                <w:color w:val="555555"/>
                <w:sz w:val="19"/>
                <w:szCs w:val="19"/>
              </w:rPr>
              <w:t xml:space="preserve">   2025</w:t>
            </w:r>
          </w:p>
          <w:p>
            <w:pPr>
              <w:spacing w:after="6" w:before="60"/>
              <w:jc w:val="left"/>
            </w:pPr>
            <w:r>
              <w:rPr>
                <w:rFonts w:ascii="Arial" w:cs="Arial" w:eastAsia="Arial" w:hAnsi="Arial"/>
                <w:b/>
                <w:bCs/>
                <w:color w:val="155230"/>
                <w:sz w:val="19"/>
                <w:szCs w:val="19"/>
              </w:rPr>
              <w:t xml:space="preserve">GitHub</w:t>
            </w:r>
          </w:p>
          <w:p>
            <w:pPr>
              <w:spacing w:after="30" w:before="0"/>
              <w:jc w:val="left"/>
            </w:pPr>
            <w:r>
              <w:rPr>
                <w:rFonts w:ascii="Arial" w:cs="Arial" w:eastAsia="Arial" w:hAnsi="Arial"/>
                <w:color w:val="1D4E89"/>
                <w:sz w:val="17"/>
                <w:szCs w:val="17"/>
              </w:rPr>
              <w:t xml:space="preserve">github.com/amitihere/capstone2</w:t>
            </w:r>
          </w:p>
          <w:p>
            <w:pPr>
              <w:spacing w:after="6" w:before="60"/>
              <w:jc w:val="left"/>
            </w:pPr>
            <w:r>
              <w:rPr>
                <w:rFonts w:ascii="Arial" w:cs="Arial" w:eastAsia="Arial" w:hAnsi="Arial"/>
                <w:b/>
                <w:bCs/>
                <w:color w:val="155230"/>
                <w:sz w:val="19"/>
                <w:szCs w:val="19"/>
              </w:rPr>
              <w:t xml:space="preserve">Tableau Dashboard</w:t>
            </w:r>
          </w:p>
          <w:p>
            <w:pPr>
              <w:spacing w:after="0" w:before="0"/>
              <w:jc w:val="left"/>
            </w:pPr>
            <w:r>
              <w:rPr>
                <w:rFonts w:ascii="Arial" w:cs="Arial" w:eastAsia="Arial" w:hAnsi="Arial"/>
                <w:color w:val="1D4E89"/>
                <w:sz w:val="16"/>
                <w:szCs w:val="16"/>
              </w:rPr>
              <w:t xml:space="preserve">public.tableau.com/app/profile/aneesh.amiti/viz/</w:t>
            </w:r>
          </w:p>
          <w:p>
            <w:pPr>
              <w:spacing w:after="30" w:before="0"/>
              <w:jc w:val="left"/>
            </w:pPr>
            <w:r>
              <w:rPr>
                <w:rFonts w:ascii="Arial" w:cs="Arial" w:eastAsia="Arial" w:hAnsi="Arial"/>
                <w:color w:val="1D4E89"/>
                <w:sz w:val="16"/>
                <w:szCs w:val="16"/>
              </w:rPr>
              <w:t xml:space="preserve">bigbasket_dashboard/Dashboard2</w:t>
            </w:r>
          </w:p>
        </w:tc>
        <w:tc>
          <w:tcPr>
            <w:tcW w:type="dxa" w:w="5080"/>
            <w:tcBorders>
              <w:top w:val="none" w:color="FFFFFF" w:sz="0"/>
              <w:left w:val="none" w:color="FFFFFF" w:sz="0"/>
              <w:bottom w:val="none" w:color="FFFFFF" w:sz="0"/>
              <w:right w:val="none" w:color="FFFFFF" w:sz="0"/>
            </w:tcBorders>
            <w:shd w:fill="EAF1FA" w:val="clear"/>
            <w:tcMar>
              <w:top w:type="dxa" w:w="300"/>
              <w:left w:type="dxa" w:w="300"/>
              <w:bottom w:type="dxa" w:w="300"/>
              <w:right w:type="dxa" w:w="400"/>
            </w:tcMar>
          </w:tcPr>
          <w:p>
            <w:pPr>
              <w:spacing w:after="160" w:before="0"/>
              <w:jc w:val="left"/>
            </w:pPr>
            <w:r>
              <w:rPr>
                <w:rFonts w:ascii="Arial" w:cs="Arial" w:eastAsia="Arial" w:hAnsi="Arial"/>
                <w:b/>
                <w:bCs/>
                <w:color w:val="1D4E89"/>
                <w:sz w:val="20"/>
                <w:szCs w:val="20"/>
              </w:rPr>
              <w:t xml:space="preserve">TEAM</w:t>
            </w:r>
          </w:p>
          <w:p>
            <w:pPr>
              <w:spacing w:after="20" w:before="80"/>
              <w:jc w:val="left"/>
            </w:pPr>
            <w:r>
              <w:rPr>
                <w:rFonts w:ascii="Arial" w:cs="Arial" w:eastAsia="Arial" w:hAnsi="Arial"/>
                <w:b/>
                <w:bCs/>
                <w:color w:val="1D4E89"/>
                <w:sz w:val="20"/>
                <w:szCs w:val="20"/>
              </w:rPr>
              <w:t xml:space="preserve">Amiti Aneesh</w:t>
            </w:r>
          </w:p>
          <w:p>
            <w:pPr>
              <w:spacing w:after="50" w:before="0"/>
              <w:jc w:val="left"/>
            </w:pPr>
            <w:r>
              <w:rPr>
                <w:rFonts w:ascii="Arial" w:cs="Arial" w:eastAsia="Arial" w:hAnsi="Arial"/>
                <w:i/>
                <w:iCs/>
                <w:color w:val="555555"/>
                <w:sz w:val="18"/>
                <w:szCs w:val="18"/>
              </w:rPr>
              <w:t xml:space="preserve">Data Cleaning &amp; ETL Pipeline</w:t>
            </w:r>
          </w:p>
          <w:p>
            <w:pPr>
              <w:spacing w:after="20" w:before="80"/>
              <w:jc w:val="left"/>
            </w:pPr>
            <w:r>
              <w:rPr>
                <w:rFonts w:ascii="Arial" w:cs="Arial" w:eastAsia="Arial" w:hAnsi="Arial"/>
                <w:b/>
                <w:bCs/>
                <w:color w:val="1D4E89"/>
                <w:sz w:val="20"/>
                <w:szCs w:val="20"/>
              </w:rPr>
              <w:t xml:space="preserve">Lakshith</w:t>
            </w:r>
          </w:p>
          <w:p>
            <w:pPr>
              <w:spacing w:after="50" w:before="0"/>
              <w:jc w:val="left"/>
            </w:pPr>
            <w:r>
              <w:rPr>
                <w:rFonts w:ascii="Arial" w:cs="Arial" w:eastAsia="Arial" w:hAnsi="Arial"/>
                <w:i/>
                <w:iCs/>
                <w:color w:val="555555"/>
                <w:sz w:val="18"/>
                <w:szCs w:val="18"/>
              </w:rPr>
              <w:t xml:space="preserve">Exploratory &amp; Statistical Analysis</w:t>
            </w:r>
          </w:p>
          <w:p>
            <w:pPr>
              <w:spacing w:after="20" w:before="80"/>
              <w:jc w:val="left"/>
            </w:pPr>
            <w:r>
              <w:rPr>
                <w:rFonts w:ascii="Arial" w:cs="Arial" w:eastAsia="Arial" w:hAnsi="Arial"/>
                <w:b/>
                <w:bCs/>
                <w:color w:val="1D4E89"/>
                <w:sz w:val="20"/>
                <w:szCs w:val="20"/>
              </w:rPr>
              <w:t xml:space="preserve">Chanakya Shinde</w:t>
            </w:r>
          </w:p>
          <w:p>
            <w:pPr>
              <w:spacing w:after="50" w:before="0"/>
              <w:jc w:val="left"/>
            </w:pPr>
            <w:r>
              <w:rPr>
                <w:rFonts w:ascii="Arial" w:cs="Arial" w:eastAsia="Arial" w:hAnsi="Arial"/>
                <w:i/>
                <w:iCs/>
                <w:color w:val="555555"/>
                <w:sz w:val="18"/>
                <w:szCs w:val="18"/>
              </w:rPr>
              <w:t xml:space="preserve">Tableau Dashboard &amp; Visualization</w:t>
            </w:r>
          </w:p>
          <w:p>
            <w:pPr>
              <w:spacing w:after="20" w:before="80"/>
              <w:jc w:val="left"/>
            </w:pPr>
            <w:r>
              <w:rPr>
                <w:rFonts w:ascii="Arial" w:cs="Arial" w:eastAsia="Arial" w:hAnsi="Arial"/>
                <w:b/>
                <w:bCs/>
                <w:color w:val="1D4E89"/>
                <w:sz w:val="20"/>
                <w:szCs w:val="20"/>
              </w:rPr>
              <w:t xml:space="preserve">Sai Praneeth Sharma</w:t>
            </w:r>
          </w:p>
          <w:p>
            <w:pPr>
              <w:spacing w:after="50" w:before="0"/>
              <w:jc w:val="left"/>
            </w:pPr>
            <w:r>
              <w:rPr>
                <w:rFonts w:ascii="Arial" w:cs="Arial" w:eastAsia="Arial" w:hAnsi="Arial"/>
                <w:i/>
                <w:iCs/>
                <w:color w:val="555555"/>
                <w:sz w:val="18"/>
                <w:szCs w:val="18"/>
              </w:rPr>
              <w:t xml:space="preserve">Business Insights &amp; Final Report</w:t>
            </w:r>
          </w:p>
        </w:tc>
      </w:tr>
    </w:tbl>
    <w:p>
      <w:pPr>
        <w:spacing w:after="0" w:before="80"/>
        <w:jc w:val="left"/>
      </w:pPr>
      <w:r>
        <w:rPr>
          <w:rFonts w:ascii="Arial" w:cs="Arial" w:eastAsia="Arial" w:hAnsi="Arial"/>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55230" w:val="clear"/>
            <w:tcMar>
              <w:top w:type="dxa" w:w="160"/>
              <w:left w:type="dxa" w:w="500"/>
              <w:bottom w:type="dxa" w:w="160"/>
              <w:right w:type="dxa" w:w="500"/>
            </w:tcMar>
          </w:tcPr>
          <w:p>
            <w:pPr>
              <w:spacing w:after="0" w:before="0"/>
              <w:jc w:val="center"/>
            </w:pPr>
            <w:r>
              <w:rPr>
                <w:rFonts w:ascii="Arial" w:cs="Arial" w:eastAsia="Arial" w:hAnsi="Arial"/>
                <w:b/>
                <w:bCs/>
                <w:color w:val="A8D5B5"/>
                <w:sz w:val="22"/>
                <w:szCs w:val="22"/>
              </w:rPr>
              <w:t xml:space="preserve">How can BigBasket attract more customers? </w:t>
            </w:r>
            <w:r>
              <w:rPr>
                <w:rFonts w:ascii="Arial" w:cs="Arial" w:eastAsia="Arial" w:hAnsi="Arial"/>
                <w:i/>
                <w:iCs/>
                <w:color w:val="D0EBD8"/>
                <w:sz w:val="22"/>
                <w:szCs w:val="22"/>
              </w:rPr>
              <w:t xml:space="preserve">Analysing pricing, discount patterns and customer ratings to deliver actionable strategy.</w:t>
            </w:r>
          </w:p>
        </w:tc>
      </w:tr>
    </w:tbl>
    <w:p>
      <w:r>
        <w:br w:type="page"/>
      </w:r>
    </w:p>
    <w:p>
      <w:pPr>
        <w:pBdr>
          <w:bottom w:val="single" w:color="1A6B3A" w:sz="12" w:space="4"/>
        </w:pBdr>
        <w:spacing w:after="120" w:before="280"/>
        <w:jc w:val="left"/>
      </w:pPr>
      <w:r>
        <w:rPr>
          <w:rFonts w:ascii="Arial" w:cs="Arial" w:eastAsia="Arial" w:hAnsi="Arial"/>
          <w:b/>
          <w:bCs/>
          <w:color w:val="1A6B3A"/>
          <w:sz w:val="30"/>
          <w:szCs w:val="30"/>
        </w:rPr>
        <w:t xml:space="preserve">2. Executive Summary</w:t>
      </w:r>
    </w:p>
    <w:p>
      <w:pPr>
        <w:spacing w:after="50" w:before="50"/>
        <w:jc w:val="both"/>
      </w:pPr>
      <w:r>
        <w:rPr>
          <w:rFonts w:ascii="Arial" w:cs="Arial" w:eastAsia="Arial" w:hAnsi="Arial"/>
          <w:color w:val="1A1A1A"/>
          <w:sz w:val="21"/>
          <w:szCs w:val="21"/>
        </w:rPr>
        <w:t xml:space="preserve">BigBasket, India's largest online grocery platform, faces rising competition from Blinkit, Zepto, and JioMart. This project analyses 23,000+ product listings to answer: what drives pricing, discounts, and customer ratings — and how can these insights improve strategy, assortment, and satisfaction?</w:t>
      </w:r>
    </w:p>
    <w:p>
      <w:pPr>
        <w:spacing w:after="50" w:before="50"/>
        <w:jc w:val="both"/>
      </w:pPr>
      <w:r>
        <w:rPr>
          <w:rFonts w:ascii="Arial" w:cs="Arial" w:eastAsia="Arial" w:hAnsi="Arial"/>
          <w:color w:val="1A1A1A"/>
          <w:sz w:val="21"/>
          <w:szCs w:val="21"/>
        </w:rPr>
        <w:t xml:space="preserve">Using a Python ETL pipeline and 10 structured analyses (EDA + statistical tests), the team extracted the following:</w:t>
      </w:r>
    </w:p>
    <w:p>
      <w:pPr>
        <w:spacing w:after="0" w:before="40"/>
        <w:jc w:val="left"/>
      </w:pPr>
      <w:r>
        <w:rPr>
          <w:rFonts w:ascii="Arial" w:cs="Arial" w:eastAsia="Arial" w:hAnsi="Arial"/>
          <w:color w:val="1A1A1A"/>
          <w:sz w:val="22"/>
          <w:szCs w:val="22"/>
        </w:rPr>
        <w:t xml:space="preserve"/>
      </w:r>
    </w:p>
    <w:p>
      <w:pPr>
        <w:shd w:fill="E8F5EE" w:val="clear"/>
        <w:spacing w:after="60" w:before="60"/>
        <w:ind w:left="200" w:right="200"/>
        <w:jc w:val="both"/>
      </w:pPr>
      <w:r>
        <w:rPr>
          <w:rFonts w:ascii="Arial" w:cs="Arial" w:eastAsia="Arial" w:hAnsi="Arial"/>
          <w:b/>
          <w:bCs/>
          <w:color w:val="1A6B3A"/>
          <w:sz w:val="21"/>
          <w:szCs w:val="21"/>
        </w:rPr>
        <w:t xml:space="preserve">Key Finding 1: </w:t>
      </w:r>
      <w:r>
        <w:rPr>
          <w:rFonts w:ascii="Arial" w:cs="Arial" w:eastAsia="Arial" w:hAnsi="Arial"/>
          <w:color w:val="1A1A1A"/>
          <w:sz w:val="21"/>
          <w:szCs w:val="21"/>
        </w:rPr>
        <w:t xml:space="preserve">The sale price–rating correlation is very weak — price alone does not drive satisfaction.</w:t>
      </w:r>
    </w:p>
    <w:p>
      <w:pPr>
        <w:spacing w:after="0" w:before="20"/>
        <w:jc w:val="left"/>
      </w:pPr>
      <w:r>
        <w:rPr>
          <w:rFonts w:ascii="Arial" w:cs="Arial" w:eastAsia="Arial" w:hAnsi="Arial"/>
          <w:color w:val="1A1A1A"/>
          <w:sz w:val="22"/>
          <w:szCs w:val="22"/>
        </w:rPr>
        <w:t xml:space="preserve"/>
      </w:r>
    </w:p>
    <w:p>
      <w:pPr>
        <w:shd w:fill="E8F5EE" w:val="clear"/>
        <w:spacing w:after="60" w:before="60"/>
        <w:ind w:left="200" w:right="200"/>
        <w:jc w:val="both"/>
      </w:pPr>
      <w:r>
        <w:rPr>
          <w:rFonts w:ascii="Arial" w:cs="Arial" w:eastAsia="Arial" w:hAnsi="Arial"/>
          <w:b/>
          <w:bCs/>
          <w:color w:val="1A6B3A"/>
          <w:sz w:val="21"/>
          <w:szCs w:val="21"/>
        </w:rPr>
        <w:t xml:space="preserve">Key Finding 2: </w:t>
      </w:r>
      <w:r>
        <w:rPr>
          <w:rFonts w:ascii="Arial" w:cs="Arial" w:eastAsia="Arial" w:hAnsi="Arial"/>
          <w:color w:val="1A1A1A"/>
          <w:sz w:val="21"/>
          <w:szCs w:val="21"/>
        </w:rPr>
        <w:t xml:space="preserve">Very heavily discounted products trend toward lower ratings, signalling quality issues rather than value.</w:t>
      </w:r>
    </w:p>
    <w:p>
      <w:pPr>
        <w:spacing w:after="0" w:before="20"/>
        <w:jc w:val="left"/>
      </w:pPr>
      <w:r>
        <w:rPr>
          <w:rFonts w:ascii="Arial" w:cs="Arial" w:eastAsia="Arial" w:hAnsi="Arial"/>
          <w:color w:val="1A1A1A"/>
          <w:sz w:val="22"/>
          <w:szCs w:val="22"/>
        </w:rPr>
        <w:t xml:space="preserve"/>
      </w:r>
    </w:p>
    <w:p>
      <w:pPr>
        <w:shd w:fill="E8F5EE" w:val="clear"/>
        <w:spacing w:after="60" w:before="60"/>
        <w:ind w:left="200" w:right="200"/>
        <w:jc w:val="both"/>
      </w:pPr>
      <w:r>
        <w:rPr>
          <w:rFonts w:ascii="Arial" w:cs="Arial" w:eastAsia="Arial" w:hAnsi="Arial"/>
          <w:b/>
          <w:bCs/>
          <w:color w:val="1A6B3A"/>
          <w:sz w:val="21"/>
          <w:szCs w:val="21"/>
        </w:rPr>
        <w:t xml:space="preserve">Key Finding 3: </w:t>
      </w:r>
      <w:r>
        <w:rPr>
          <w:rFonts w:ascii="Arial" w:cs="Arial" w:eastAsia="Arial" w:hAnsi="Arial"/>
          <w:color w:val="1A1A1A"/>
          <w:sz w:val="21"/>
          <w:szCs w:val="21"/>
        </w:rPr>
        <w:t xml:space="preserve">Budget products (≤₹100) dominate volume but carry the lowest ratings — the biggest quality drag on the platform.</w:t>
      </w:r>
    </w:p>
    <w:p>
      <w:pPr>
        <w:spacing w:after="0" w:before="20"/>
        <w:jc w:val="left"/>
      </w:pPr>
      <w:r>
        <w:rPr>
          <w:rFonts w:ascii="Arial" w:cs="Arial" w:eastAsia="Arial" w:hAnsi="Arial"/>
          <w:color w:val="1A1A1A"/>
          <w:sz w:val="22"/>
          <w:szCs w:val="22"/>
        </w:rPr>
        <w:t xml:space="preserve"/>
      </w:r>
    </w:p>
    <w:p>
      <w:pPr>
        <w:shd w:fill="E8F5EE" w:val="clear"/>
        <w:spacing w:after="60" w:before="60"/>
        <w:ind w:left="200" w:right="200"/>
        <w:jc w:val="both"/>
      </w:pPr>
      <w:r>
        <w:rPr>
          <w:rFonts w:ascii="Arial" w:cs="Arial" w:eastAsia="Arial" w:hAnsi="Arial"/>
          <w:b/>
          <w:bCs/>
          <w:color w:val="1A6B3A"/>
          <w:sz w:val="21"/>
          <w:szCs w:val="21"/>
        </w:rPr>
        <w:t xml:space="preserve">Key Finding 4: </w:t>
      </w:r>
      <w:r>
        <w:rPr>
          <w:rFonts w:ascii="Arial" w:cs="Arial" w:eastAsia="Arial" w:hAnsi="Arial"/>
          <w:color w:val="1A1A1A"/>
          <w:sz w:val="21"/>
          <w:szCs w:val="21"/>
        </w:rPr>
        <w:t xml:space="preserve">Mid-range products (₹100–₹500) achieve the best satisfaction-to-volume balance and should lead promotional strategy.</w:t>
      </w:r>
    </w:p>
    <w:p>
      <w:pPr>
        <w:spacing w:after="0" w:before="10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3. Sector &amp; Business Context</w:t>
      </w:r>
    </w:p>
    <w:p>
      <w:pPr>
        <w:spacing w:after="50" w:before="50"/>
        <w:jc w:val="both"/>
      </w:pPr>
      <w:r>
        <w:rPr>
          <w:rFonts w:ascii="Arial" w:cs="Arial" w:eastAsia="Arial" w:hAnsi="Arial"/>
          <w:color w:val="1A1A1A"/>
          <w:sz w:val="21"/>
          <w:szCs w:val="21"/>
        </w:rPr>
        <w:t xml:space="preserve">India's online grocery sector is growing rapidly, driven by smartphone penetration, urbanisation, and post-pandemic behavioural change. BigBasket (Tata Group, est. 2011) is the market leader across 30+ cities, but faces structural pressure from thin margins, complex perishable logistics, and quick-commerce rivals.</w:t>
      </w:r>
    </w:p>
    <w:p>
      <w:pPr>
        <w:spacing w:after="50" w:before="50"/>
        <w:jc w:val="both"/>
      </w:pPr>
      <w:r>
        <w:rPr>
          <w:rFonts w:ascii="Arial" w:cs="Arial" w:eastAsia="Arial" w:hAnsi="Arial"/>
          <w:color w:val="1A1A1A"/>
          <w:sz w:val="21"/>
          <w:szCs w:val="21"/>
        </w:rPr>
        <w:t xml:space="preserve">This analysis serves BigBasket's Category Management, Pricing Strategy, and Marketing teams. Pricing and discounting directly affect customer acquisition cost, gross margin, and retention. Identifying what actually drives customer satisfaction enables smarter budget allocation across the catalog.</w:t>
      </w:r>
    </w:p>
    <w:p>
      <w:pPr>
        <w:spacing w:after="0" w:before="10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4. Problem Statement &amp; Objectives</w:t>
      </w:r>
    </w:p>
    <w:p>
      <w:pPr>
        <w:spacing w:after="50" w:before="50"/>
        <w:jc w:val="both"/>
      </w:pPr>
      <w:r>
        <w:rPr>
          <w:rFonts w:ascii="Arial" w:cs="Arial" w:eastAsia="Arial" w:hAnsi="Arial"/>
          <w:color w:val="1A1A1A"/>
          <w:sz w:val="21"/>
          <w:szCs w:val="21"/>
        </w:rPr>
        <w:t xml:space="preserve">Formal Question: What are the key drivers of product pricing, discount patterns, and customer ratings across categories and brands on BigBasket — and how can these insights optimise pricing strategy, improve assortment, and boost satisfaction?</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In Scope</w:t>
            </w:r>
          </w:p>
        </w:tc>
        <w:tc>
          <w:tcPr>
            <w:tcW w:type="dxa" w:w="468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Out of Scope</w:t>
            </w:r>
          </w:p>
        </w:tc>
      </w:tr>
      <w:tr>
        <w:tc>
          <w:tcPr>
            <w:tcW w:type="dxa" w:w="468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23,000+ product listings — all categories and brands</w:t>
            </w:r>
          </w:p>
        </w:tc>
        <w:tc>
          <w:tcPr>
            <w:tcW w:type="dxa" w:w="468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Real-time or transactional sales volume data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Pricing trends, discounts, price segmentation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Customer-level demographic/purchase history</w:t>
            </w:r>
          </w:p>
        </w:tc>
      </w:tr>
      <w:tr>
        <w:tc>
          <w:tcPr>
            <w:tcW w:type="dxa" w:w="468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Rating analysis vs pricing and brand</w:t>
            </w:r>
          </w:p>
        </w:tc>
        <w:tc>
          <w:tcPr>
            <w:tcW w:type="dxa" w:w="468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Supply chain, logistics, or cost-side analysis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Brand &amp; category performance benchmarking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Machine learning / predictive modelling</w:t>
            </w:r>
          </w:p>
        </w:tc>
      </w:tr>
      <w:tr>
        <w:tc>
          <w:tcPr>
            <w:tcW w:type="dxa" w:w="468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Correlation, regression, ANOVA across 10 analyses</w:t>
            </w:r>
          </w:p>
        </w:tc>
        <w:tc>
          <w:tcPr>
            <w:tcW w:type="dxa" w:w="468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Time-series trend analysis (no time dimension in data)</w:t>
            </w:r>
          </w:p>
        </w:tc>
      </w:tr>
    </w:tbl>
    <w:p>
      <w:r>
        <w:br w:type="page"/>
      </w:r>
    </w:p>
    <w:p>
      <w:pPr>
        <w:pBdr>
          <w:bottom w:val="single" w:color="1A6B3A" w:sz="12" w:space="4"/>
        </w:pBdr>
        <w:spacing w:after="120" w:before="280"/>
        <w:jc w:val="left"/>
      </w:pPr>
      <w:r>
        <w:rPr>
          <w:rFonts w:ascii="Arial" w:cs="Arial" w:eastAsia="Arial" w:hAnsi="Arial"/>
          <w:b/>
          <w:bCs/>
          <w:color w:val="1A6B3A"/>
          <w:sz w:val="30"/>
          <w:szCs w:val="30"/>
        </w:rPr>
        <w:t xml:space="preserve">5. Data Description</w:t>
      </w:r>
    </w:p>
    <w:p>
      <w:pPr>
        <w:spacing w:after="50" w:before="50"/>
        <w:jc w:val="both"/>
      </w:pPr>
      <w:r>
        <w:rPr>
          <w:rFonts w:ascii="Arial" w:cs="Arial" w:eastAsia="Arial" w:hAnsi="Arial"/>
          <w:color w:val="1A1A1A"/>
          <w:sz w:val="21"/>
          <w:szCs w:val="21"/>
        </w:rPr>
        <w:t xml:space="preserve">Source: Kaggle — BigBasket Entire Product List (surajjha101). A static catalog snapshot of 23,000+ product listings across all major BigBasket categories.</w:t>
      </w:r>
    </w:p>
    <w:p>
      <w:pPr>
        <w:spacing w:after="0" w:before="6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Type</w:t>
            </w:r>
          </w:p>
        </w:tc>
        <w:tc>
          <w:tcPr>
            <w:tcW w:type="dxa" w:w="53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product</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Text</w:t>
            </w:r>
          </w:p>
        </w:tc>
        <w:tc>
          <w:tcPr>
            <w:tcW w:type="dxa" w:w="5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Full product title as listed on BigBasket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Broad grouping (~13 unique categories)</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sub_category</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Categorical</w:t>
            </w:r>
          </w:p>
        </w:tc>
        <w:tc>
          <w:tcPr>
            <w:tcW w:type="dxa" w:w="5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Fine-grained grouping within each category (100+)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brand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Brand name — 1,000+ unique values</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sale_price</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Float (₹)</w:t>
            </w:r>
          </w:p>
        </w:tc>
        <w:tc>
          <w:tcPr>
            <w:tcW w:type="dxa" w:w="5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 sold on BigBasket; converted from string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market_price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Float (₹)</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Listed MRP; may differ from true market price</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type</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Categorical</w:t>
            </w:r>
          </w:p>
        </w:tc>
        <w:tc>
          <w:tcPr>
            <w:tcW w:type="dxa" w:w="5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Product type within sub-category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rating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Float 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Consumer rating; missing for some products</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description</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Text</w:t>
            </w:r>
          </w:p>
        </w:tc>
        <w:tc>
          <w:tcPr>
            <w:tcW w:type="dxa" w:w="5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Excluded from all numerical analysis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discount_amount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Float (₹)</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Engineered: market_price − sale_price</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discount_pct ✦</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Float (%)</w:t>
            </w:r>
          </w:p>
        </w:tc>
        <w:tc>
          <w:tcPr>
            <w:tcW w:type="dxa" w:w="5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Engineered: (discount_amount / market_price) × 100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price_segment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Engineered: Budget ≤₹100 | Mid-range ₹100–500 | Premium &gt;₹500</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is_discounted ✦</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Boolean</w:t>
            </w:r>
          </w:p>
        </w:tc>
        <w:tc>
          <w:tcPr>
            <w:tcW w:type="dxa" w:w="5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Engineered: True if sale_price &lt; market_price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rating_segment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Engineered: Low &lt;3 | Medium 3–4 | High &gt;4</w:t>
            </w:r>
          </w:p>
        </w:tc>
      </w:tr>
    </w:tbl>
    <w:p>
      <w:pPr>
        <w:spacing w:after="50" w:before="50"/>
        <w:jc w:val="both"/>
      </w:pPr>
      <w:r>
        <w:rPr>
          <w:rFonts w:ascii="Arial" w:cs="Arial" w:eastAsia="Arial" w:hAnsi="Arial"/>
          <w:i/>
          <w:iCs/>
          <w:color w:val="555555"/>
          <w:sz w:val="19"/>
          <w:szCs w:val="19"/>
        </w:rPr>
        <w:t xml:space="preserve">✦ = feature engineered during ETL. Data limitations: static snapshot only; no sales volume; missing ratings biased toward newer products; MRP may not reflect competitor prices.</w:t>
      </w:r>
    </w:p>
    <w:p>
      <w:pPr>
        <w:spacing w:after="0" w:before="8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6. Data Cleaning &amp; ETL Pipeline</w:t>
      </w:r>
    </w:p>
    <w:p>
      <w:pPr>
        <w:spacing w:after="50" w:before="50"/>
        <w:jc w:val="both"/>
      </w:pPr>
      <w:r>
        <w:rPr>
          <w:rFonts w:ascii="Arial" w:cs="Arial" w:eastAsia="Arial" w:hAnsi="Arial"/>
          <w:color w:val="1A1A1A"/>
          <w:sz w:val="21"/>
          <w:szCs w:val="21"/>
        </w:rPr>
        <w:t xml:space="preserve">Reference: notebooks/02_cleaning.ipynb. Libraries: pandas, numpy.</w:t>
      </w:r>
    </w:p>
    <w:p>
      <w:pPr>
        <w:spacing w:after="0" w:before="5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Issue Found</w:t>
            </w:r>
          </w:p>
        </w:tc>
        <w:tc>
          <w:tcPr>
            <w:tcW w:type="dxa" w:w="24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Columns Affected</w:t>
            </w:r>
          </w:p>
        </w:tc>
        <w:tc>
          <w:tcPr>
            <w:tcW w:type="dxa" w:w="43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Treatment</w:t>
            </w:r>
          </w:p>
        </w:tc>
      </w:tr>
      <w:tr>
        <w:tc>
          <w:tcPr>
            <w:tcW w:type="dxa" w:w="2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Missing values</w:t>
            </w:r>
          </w:p>
        </w:tc>
        <w:tc>
          <w:tcPr>
            <w:tcW w:type="dxa" w:w="24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rating, brand, description</w:t>
            </w:r>
          </w:p>
        </w:tc>
        <w:tc>
          <w:tcPr>
            <w:tcW w:type="dxa" w:w="4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Imputed/flagged; description excluded from analysis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Prices as strings with ₹ symbol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sale_price, market_price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Stripped symbol; converted to float64</w:t>
            </w:r>
          </w:p>
        </w:tc>
      </w:tr>
      <w:tr>
        <w:tc>
          <w:tcPr>
            <w:tcW w:type="dxa" w:w="2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Inconsistent brand name casing</w:t>
            </w:r>
          </w:p>
        </w:tc>
        <w:tc>
          <w:tcPr>
            <w:tcW w:type="dxa" w:w="24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brand</w:t>
            </w:r>
          </w:p>
        </w:tc>
        <w:tc>
          <w:tcPr>
            <w:tcW w:type="dxa" w:w="4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Standardised to title case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sale_price &gt; market_price anomalies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Both price cols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Flagged; excluded from discount analysis</w:t>
            </w:r>
          </w:p>
        </w:tc>
      </w:tr>
      <w:tr>
        <w:tc>
          <w:tcPr>
            <w:tcW w:type="dxa" w:w="2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Duplicate product entries</w:t>
            </w:r>
          </w:p>
        </w:tc>
        <w:tc>
          <w:tcPr>
            <w:tcW w:type="dxa" w:w="24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All columns</w:t>
            </w:r>
          </w:p>
        </w:tc>
        <w:tc>
          <w:tcPr>
            <w:tcW w:type="dxa" w:w="4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Identified and removed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Non-analytical index column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index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Dropped</w:t>
            </w:r>
          </w:p>
        </w:tc>
      </w:tr>
      <w:tr>
        <w:tc>
          <w:tcPr>
            <w:tcW w:type="dxa" w:w="2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Outliers in prices</w:t>
            </w:r>
          </w:p>
        </w:tc>
        <w:tc>
          <w:tcPr>
            <w:tcW w:type="dxa" w:w="24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sale_price, market_price</w:t>
            </w:r>
          </w:p>
        </w:tc>
        <w:tc>
          <w:tcPr>
            <w:tcW w:type="dxa" w:w="43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IQR detection; retained with flags</w:t>
            </w:r>
          </w:p>
        </w:tc>
      </w:tr>
    </w:tbl>
    <w:p>
      <w:r>
        <w:br w:type="page"/>
      </w:r>
    </w:p>
    <w:p>
      <w:pPr>
        <w:pBdr>
          <w:bottom w:val="single" w:color="1A6B3A" w:sz="12" w:space="4"/>
        </w:pBdr>
        <w:spacing w:after="120" w:before="280"/>
        <w:jc w:val="left"/>
      </w:pPr>
      <w:r>
        <w:rPr>
          <w:rFonts w:ascii="Arial" w:cs="Arial" w:eastAsia="Arial" w:hAnsi="Arial"/>
          <w:b/>
          <w:bCs/>
          <w:color w:val="1A6B3A"/>
          <w:sz w:val="30"/>
          <w:szCs w:val="30"/>
        </w:rPr>
        <w:t xml:space="preserve">7. KPI &amp; Metric Framework</w:t>
      </w:r>
    </w:p>
    <w:p>
      <w:pPr>
        <w:spacing w:after="50" w:before="50"/>
        <w:jc w:val="both"/>
      </w:pPr>
      <w:r>
        <w:rPr>
          <w:rFonts w:ascii="Arial" w:cs="Arial" w:eastAsia="Arial" w:hAnsi="Arial"/>
          <w:color w:val="1A1A1A"/>
          <w:sz w:val="21"/>
          <w:szCs w:val="21"/>
        </w:rPr>
        <w:t xml:space="preserve">Computed in notebooks/05_final_load_prep.ipynb; surfaced in Tableau dashboard.</w:t>
      </w:r>
    </w:p>
    <w:p>
      <w:pPr>
        <w:spacing w:after="0" w:before="5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KPI</w:t>
            </w:r>
          </w:p>
        </w:tc>
        <w:tc>
          <w:tcPr>
            <w:tcW w:type="dxa" w:w="3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Formula</w:t>
            </w:r>
          </w:p>
        </w:tc>
        <w:tc>
          <w:tcPr>
            <w:tcW w:type="dxa" w:w="25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Maps To</w:t>
            </w:r>
          </w:p>
        </w:tc>
      </w:tr>
      <w:tr>
        <w:tc>
          <w:tcPr>
            <w:tcW w:type="dxa" w:w="3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Average Discount (%)</w:t>
            </w:r>
          </w:p>
        </w:tc>
        <w:tc>
          <w:tcPr>
            <w:tcW w:type="dxa" w:w="3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Mean of discount_pct across all products</w:t>
            </w:r>
          </w:p>
        </w:tc>
        <w:tc>
          <w:tcPr>
            <w:tcW w:type="dxa" w:w="25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Pricing optimisation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Average Sale Price (₹)</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Mean of sale_price across catalog</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Pricing baseline</w:t>
            </w:r>
          </w:p>
        </w:tc>
      </w:tr>
      <w:tr>
        <w:tc>
          <w:tcPr>
            <w:tcW w:type="dxa" w:w="3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Average Rating</w:t>
            </w:r>
          </w:p>
        </w:tc>
        <w:tc>
          <w:tcPr>
            <w:tcW w:type="dxa" w:w="3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Mean of rating for all rated products</w:t>
            </w:r>
          </w:p>
        </w:tc>
        <w:tc>
          <w:tcPr>
            <w:tcW w:type="dxa" w:w="25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Customer satisfaction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Top Category by Product Count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category with highest value_count()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Assortment focus</w:t>
            </w:r>
          </w:p>
        </w:tc>
      </w:tr>
      <w:tr>
        <w:tc>
          <w:tcPr>
            <w:tcW w:type="dxa" w:w="3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 Products Discounted</w:t>
            </w:r>
          </w:p>
        </w:tc>
        <w:tc>
          <w:tcPr>
            <w:tcW w:type="dxa" w:w="3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(is_discounted==True).sum() / total × 100</w:t>
            </w:r>
          </w:p>
        </w:tc>
        <w:tc>
          <w:tcPr>
            <w:tcW w:type="dxa" w:w="25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Discount strategy breadth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Top Brand by Avg Rating</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Brand with highest mean rating (min 10 products)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Quality benchmark</w:t>
            </w:r>
          </w:p>
        </w:tc>
      </w:tr>
      <w:tr>
        <w:tc>
          <w:tcPr>
            <w:tcW w:type="dxa" w:w="3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 Segment Distribution</w:t>
            </w:r>
          </w:p>
        </w:tc>
        <w:tc>
          <w:tcPr>
            <w:tcW w:type="dxa" w:w="3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 share of Budget / Mid-range / Premium</w:t>
            </w:r>
          </w:p>
        </w:tc>
        <w:tc>
          <w:tcPr>
            <w:tcW w:type="dxa" w:w="25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Segment targeting</w:t>
            </w:r>
          </w:p>
        </w:tc>
      </w:tr>
    </w:tbl>
    <w:p>
      <w:pPr>
        <w:spacing w:after="0" w:before="10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8. Exploratory Data Analysis</w:t>
      </w:r>
    </w:p>
    <w:p>
      <w:pPr>
        <w:spacing w:after="50" w:before="50"/>
        <w:jc w:val="both"/>
      </w:pPr>
      <w:r>
        <w:rPr>
          <w:rFonts w:ascii="Arial" w:cs="Arial" w:eastAsia="Arial" w:hAnsi="Arial"/>
          <w:color w:val="1A1A1A"/>
          <w:sz w:val="21"/>
          <w:szCs w:val="21"/>
        </w:rPr>
        <w:t xml:space="preserve">Reference: notebooks/03_eda.ipynb. 10 analyses performed using matplotlib and seaborn. Each analysis, method, and business interpretation is covered below.</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1 — Basic Descriptive Statistics</w:t>
      </w:r>
    </w:p>
    <w:p>
      <w:pPr>
        <w:spacing w:after="50" w:before="50"/>
        <w:jc w:val="both"/>
      </w:pPr>
      <w:r>
        <w:rPr>
          <w:rFonts w:ascii="Arial" w:cs="Arial" w:eastAsia="Arial" w:hAnsi="Arial"/>
          <w:color w:val="1A1A1A"/>
          <w:sz w:val="21"/>
          <w:szCs w:val="21"/>
        </w:rPr>
        <w:t xml:space="preserve">Method: df[numerical_cols].describe() on sale_price, market_price, rating, discount_amount, discount_pct. Key outputs: df['sale_price'].mean(), df['rating'].mean(), df['is_discounted'].mean()*100, df['discount_pct'].mean(), price min/max.</w:t>
      </w:r>
    </w:p>
    <w:p>
      <w:pPr>
        <w:spacing w:after="50" w:before="50"/>
        <w:jc w:val="both"/>
      </w:pPr>
      <w:r>
        <w:rPr>
          <w:rFonts w:ascii="Arial" w:cs="Arial" w:eastAsia="Arial" w:hAnsi="Arial"/>
          <w:color w:val="1A6B3A"/>
          <w:sz w:val="21"/>
          <w:szCs w:val="21"/>
        </w:rPr>
        <w:t xml:space="preserve">Finding: Right-skewed price distribution (mean &gt; median) confirms most products are low-to-mid priced. Rating mean and discount share establish the KPI baselines for the Tableau dashboard.</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2 — Category Distribution</w:t>
      </w:r>
    </w:p>
    <w:p>
      <w:pPr>
        <w:spacing w:after="50" w:before="50"/>
        <w:jc w:val="both"/>
      </w:pPr>
      <w:r>
        <w:rPr>
          <w:rFonts w:ascii="Arial" w:cs="Arial" w:eastAsia="Arial" w:hAnsi="Arial"/>
          <w:color w:val="1A1A1A"/>
          <w:sz w:val="21"/>
          <w:szCs w:val="21"/>
        </w:rPr>
        <w:t xml:space="preserve">Method: df['category'].value_counts() + value_counts(normalize=True)*100. Chart: horizontal barplot top-10 (viridis). Outputs: total unique categories, top category name + count, top-3 cumulative share, average products/category.</w:t>
      </w:r>
    </w:p>
    <w:p>
      <w:pPr>
        <w:spacing w:after="50" w:before="50"/>
        <w:jc w:val="both"/>
      </w:pPr>
      <w:r>
        <w:rPr>
          <w:rFonts w:ascii="Arial" w:cs="Arial" w:eastAsia="Arial" w:hAnsi="Arial"/>
          <w:color w:val="1A6B3A"/>
          <w:sz w:val="21"/>
          <w:szCs w:val="21"/>
        </w:rPr>
        <w:t xml:space="preserve">Finding: Long-tail distribution — top 3 categories dominate listings. Most categories are thinly stocked, representing untapped assortment expansion opportunities.</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3 — Top Brands Analysis</w:t>
      </w:r>
    </w:p>
    <w:p>
      <w:pPr>
        <w:spacing w:after="50" w:before="50"/>
        <w:jc w:val="both"/>
      </w:pPr>
      <w:r>
        <w:rPr>
          <w:rFonts w:ascii="Arial" w:cs="Arial" w:eastAsia="Arial" w:hAnsi="Arial"/>
          <w:color w:val="1A1A1A"/>
          <w:sz w:val="21"/>
          <w:szCs w:val="21"/>
        </w:rPr>
        <w:t xml:space="preserve">Method: df['brand'].value_counts() + normalize. Chart: horizontal barplot top-15 (plasma). Outputs: total unique brands, top brand name + count, top-5 combined share, average products per brand.</w:t>
      </w:r>
    </w:p>
    <w:p>
      <w:pPr>
        <w:spacing w:after="50" w:before="50"/>
        <w:jc w:val="both"/>
      </w:pPr>
      <w:r>
        <w:rPr>
          <w:rFonts w:ascii="Arial" w:cs="Arial" w:eastAsia="Arial" w:hAnsi="Arial"/>
          <w:color w:val="1A6B3A"/>
          <w:sz w:val="21"/>
          <w:szCs w:val="21"/>
        </w:rPr>
        <w:t xml:space="preserve">Finding: A small number of brands dominate catalog listings. High concentration creates co-marketing opportunity but also supply-side dependency risk.</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4 — Price Distribution Analysis</w:t>
      </w:r>
    </w:p>
    <w:p>
      <w:pPr>
        <w:spacing w:after="50" w:before="50"/>
        <w:jc w:val="both"/>
      </w:pPr>
      <w:r>
        <w:rPr>
          <w:rFonts w:ascii="Arial" w:cs="Arial" w:eastAsia="Arial" w:hAnsi="Arial"/>
          <w:color w:val="1A1A1A"/>
          <w:sz w:val="21"/>
          <w:szCs w:val="21"/>
        </w:rPr>
        <w:t xml:space="preserve">Method: df['sale_price'].describe() + price_segment value_counts. Charts: histogram (50 bins, skyblue, mean as red dashed line) + boxplot by price_segment (Set2). Outputs: largest segment, price range, median, 75th percentile.</w:t>
      </w:r>
    </w:p>
    <w:p>
      <w:pPr>
        <w:spacing w:after="50" w:before="50"/>
        <w:jc w:val="both"/>
      </w:pPr>
      <w:r>
        <w:rPr>
          <w:rFonts w:ascii="Arial" w:cs="Arial" w:eastAsia="Arial" w:hAnsi="Arial"/>
          <w:color w:val="1A6B3A"/>
          <w:sz w:val="21"/>
          <w:szCs w:val="21"/>
        </w:rPr>
        <w:t xml:space="preserve">Finding: Strong right skew. Budget and Mid-range dominate volume; Premium is a long tail. BigBasket operates as a value-oriented platform — segment-specific discount strategies are warranted.</w:t>
      </w:r>
    </w:p>
    <w:p>
      <w:r>
        <w:br w:type="page"/>
      </w:r>
    </w:p>
    <w:p>
      <w:pPr>
        <w:spacing w:after="80" w:before="200"/>
        <w:jc w:val="left"/>
      </w:pPr>
      <w:r>
        <w:rPr>
          <w:rFonts w:ascii="Arial" w:cs="Arial" w:eastAsia="Arial" w:hAnsi="Arial"/>
          <w:b/>
          <w:bCs/>
          <w:color w:val="1D4E89"/>
          <w:sz w:val="24"/>
          <w:szCs w:val="24"/>
        </w:rPr>
        <w:t xml:space="preserve">Analysis 5 — Rating Distribution Analysis</w:t>
      </w:r>
    </w:p>
    <w:p>
      <w:pPr>
        <w:spacing w:after="50" w:before="50"/>
        <w:jc w:val="both"/>
      </w:pPr>
      <w:r>
        <w:rPr>
          <w:rFonts w:ascii="Arial" w:cs="Arial" w:eastAsia="Arial" w:hAnsi="Arial"/>
          <w:color w:val="1A1A1A"/>
          <w:sz w:val="21"/>
          <w:szCs w:val="21"/>
        </w:rPr>
        <w:t xml:space="preserve">Method: df['rating'].describe() + rating_segment value_counts. Charts: histogram (20 bins, lightgreen, mean line) + countplot by rating segment Low→Medium→High (Set1) with % labels per bar. Outputs: mean, largest segment, range, median.</w:t>
      </w:r>
    </w:p>
    <w:p>
      <w:pPr>
        <w:spacing w:after="50" w:before="50"/>
        <w:jc w:val="both"/>
      </w:pPr>
      <w:r>
        <w:rPr>
          <w:rFonts w:ascii="Arial" w:cs="Arial" w:eastAsia="Arial" w:hAnsi="Arial"/>
          <w:color w:val="1A6B3A"/>
          <w:sz w:val="21"/>
          <w:szCs w:val="21"/>
        </w:rPr>
        <w:t xml:space="preserve">Finding: Ratings cluster in 3.5–4.5 band — moderately positive perception overall. Low-rated segment (&lt;3.0) is a reputational risk. Missing ratings in newer products create quality monitoring blind spots.</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6 — Discount Analysis</w:t>
      </w:r>
    </w:p>
    <w:p>
      <w:pPr>
        <w:spacing w:after="50" w:before="50"/>
        <w:jc w:val="both"/>
      </w:pPr>
      <w:r>
        <w:rPr>
          <w:rFonts w:ascii="Arial" w:cs="Arial" w:eastAsia="Arial" w:hAnsi="Arial"/>
          <w:color w:val="1A1A1A"/>
          <w:sz w:val="21"/>
          <w:szCs w:val="21"/>
        </w:rPr>
        <w:t xml:space="preserve">Method: Split into discounted_products (is_discounted==True) vs non-discounted. discount_stats = discounted_products[['discount_amount','discount_pct']].describe(). Charts (2×2): pie chart (discounted vs regular), histogram of discount_pct (30 bins, orange, mean line), boxplot of discount_pct by price_segment (Set3), scatter of rating vs discount_pct (purple, alpha=0.6). Outputs: share discounted, mean/max discount, IQR range.</w:t>
      </w:r>
    </w:p>
    <w:p>
      <w:pPr>
        <w:spacing w:after="50" w:before="50"/>
        <w:jc w:val="both"/>
      </w:pPr>
      <w:r>
        <w:rPr>
          <w:rFonts w:ascii="Arial" w:cs="Arial" w:eastAsia="Arial" w:hAnsi="Arial"/>
          <w:color w:val="1A6B3A"/>
          <w:sz w:val="21"/>
          <w:szCs w:val="21"/>
        </w:rPr>
        <w:t xml:space="preserve">Finding: Near-universal discounting normalises markdown expectations. The rating vs discount scatter (panel 4) shows no upward trend — heavy discounts do not earn better ratings.</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7 — Price vs Rating Correlation</w:t>
      </w:r>
    </w:p>
    <w:p>
      <w:pPr>
        <w:spacing w:after="50" w:before="50"/>
        <w:jc w:val="both"/>
      </w:pPr>
      <w:r>
        <w:rPr>
          <w:rFonts w:ascii="Arial" w:cs="Arial" w:eastAsia="Arial" w:hAnsi="Arial"/>
          <w:color w:val="1A1A1A"/>
          <w:sz w:val="21"/>
          <w:szCs w:val="21"/>
        </w:rPr>
        <w:t xml:space="preserve">Method: Pearson r = df['sale_price'].corr(df['rating']). Classified by notebook's own if/elif: |r|&lt;0.1=very weak, &lt;0.3=weak, &lt;0.5=moderate, &lt;0.7=strong. Average rating by price_segment via groupby agg. Charts: scatter sale_price vs rating (teal) + boxplot rating by segment (coolwarm).</w:t>
      </w:r>
    </w:p>
    <w:p>
      <w:pPr>
        <w:spacing w:after="50" w:before="50"/>
        <w:jc w:val="both"/>
      </w:pPr>
      <w:r>
        <w:rPr>
          <w:rFonts w:ascii="Arial" w:cs="Arial" w:eastAsia="Arial" w:hAnsi="Arial"/>
          <w:color w:val="1A6B3A"/>
          <w:sz w:val="21"/>
          <w:szCs w:val="21"/>
        </w:rPr>
        <w:t xml:space="preserve">Finding: Correlation classified as very weak or weak. No meaningful linear relationship between price and satisfaction. Higher price cannot be justified by rating uplift.</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8 — Most Expensive Categories</w:t>
      </w:r>
    </w:p>
    <w:p>
      <w:pPr>
        <w:spacing w:after="50" w:before="50"/>
        <w:jc w:val="both"/>
      </w:pPr>
      <w:r>
        <w:rPr>
          <w:rFonts w:ascii="Arial" w:cs="Arial" w:eastAsia="Arial" w:hAnsi="Arial"/>
          <w:color w:val="1A1A1A"/>
          <w:sz w:val="21"/>
          <w:szCs w:val="21"/>
        </w:rPr>
        <w:t xml:space="preserve">Method: df.groupby('category').agg({'sale_price':['mean','median','max','count'], 'market_price':'mean'}).round(2), sorted descending. Chart: horizontal barplot top-10 (Reds_r) with ₹ labels annotated via plt.text(). Outputs: most expensive category name + avg price, price range across categories, top-3 premium categories.</w:t>
      </w:r>
    </w:p>
    <w:p>
      <w:pPr>
        <w:spacing w:after="50" w:before="50"/>
        <w:jc w:val="both"/>
      </w:pPr>
      <w:r>
        <w:rPr>
          <w:rFonts w:ascii="Arial" w:cs="Arial" w:eastAsia="Arial" w:hAnsi="Arial"/>
          <w:color w:val="1A6B3A"/>
          <w:sz w:val="21"/>
          <w:szCs w:val="21"/>
        </w:rPr>
        <w:t xml:space="preserve">Finding: Premium pricing is concentrated in specific categories. These require different discount depth and promotion policy compared to mass-market staples.</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9 — Brand Performance by Rating</w:t>
      </w:r>
    </w:p>
    <w:p>
      <w:pPr>
        <w:spacing w:after="50" w:before="50"/>
        <w:jc w:val="both"/>
      </w:pPr>
      <w:r>
        <w:rPr>
          <w:rFonts w:ascii="Arial" w:cs="Arial" w:eastAsia="Arial" w:hAnsi="Arial"/>
          <w:color w:val="1A1A1A"/>
          <w:sz w:val="21"/>
          <w:szCs w:val="21"/>
        </w:rPr>
        <w:t xml:space="preserve">Method: df.groupby('brand').agg({'rating':['mean','count','std']}).round(3). Filtered to brands with count≥10 (reliable sample). Charts: dual horizontal barplot — top-10 brands (green, xlim 0–5) and bottom-10 brands (red, xlim 0–5) with value labels. Outputs: highest/lowest rated brand names + ratings, rating range, mean across reliable brands.</w:t>
      </w:r>
    </w:p>
    <w:p>
      <w:pPr>
        <w:spacing w:after="50" w:before="50"/>
        <w:jc w:val="both"/>
      </w:pPr>
      <w:r>
        <w:rPr>
          <w:rFonts w:ascii="Arial" w:cs="Arial" w:eastAsia="Arial" w:hAnsi="Arial"/>
          <w:color w:val="1A6B3A"/>
          <w:sz w:val="21"/>
          <w:szCs w:val="21"/>
        </w:rPr>
        <w:t xml:space="preserve">Finding: Significant spread between top and bottom performers. Top-rated brands are candidates for featured placement; bottom-rated brands should be reviewed for quality improvement or SKU reduction.</w:t>
      </w:r>
    </w:p>
    <w:p>
      <w:pPr>
        <w:spacing w:after="0" w:before="6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Analysis 10 — Price Segments Deep Dive</w:t>
      </w:r>
    </w:p>
    <w:p>
      <w:pPr>
        <w:spacing w:after="50" w:before="50"/>
        <w:jc w:val="both"/>
      </w:pPr>
      <w:r>
        <w:rPr>
          <w:rFonts w:ascii="Arial" w:cs="Arial" w:eastAsia="Arial" w:hAnsi="Arial"/>
          <w:color w:val="1A1A1A"/>
          <w:sz w:val="21"/>
          <w:szCs w:val="21"/>
        </w:rPr>
        <w:t xml:space="preserve">Method: df.groupby('price_segment').agg({'sale_price':['count','mean','min','max','std'], 'rating':['mean','median'], 'discount_pct':['mean','max'], 'is_discounted':'mean'}).round(2). Segment % via value_counts(). Charts (2×2): pie (product distribution), bar (avg rating per segment, skyblue, ylim 0–5, values annotated), bar (avg discount_pct, orange), bar (discount frequency %, purple). Final prints: budget_rating, mid_rating, premium_rating, budget_discount, premium_discount.</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Metric</w:t>
            </w:r>
          </w:p>
        </w:tc>
        <w:tc>
          <w:tcPr>
            <w:tcW w:type="dxa" w:w="22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Budget ≤₹100</w:t>
            </w:r>
          </w:p>
        </w:tc>
        <w:tc>
          <w:tcPr>
            <w:tcW w:type="dxa" w:w="22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Mid-range ₹100–500</w:t>
            </w:r>
          </w:p>
        </w:tc>
        <w:tc>
          <w:tcPr>
            <w:tcW w:type="dxa" w:w="222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Premium &gt;₹500</w:t>
            </w:r>
          </w:p>
        </w:tc>
      </w:tr>
      <w:tr>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Product Volume</w:t>
            </w:r>
          </w:p>
        </w:tc>
        <w:tc>
          <w:tcPr>
            <w:tcW w:type="dxa" w:w="22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Largest segment</w:t>
            </w:r>
          </w:p>
        </w:tc>
        <w:tc>
          <w:tcPr>
            <w:tcW w:type="dxa" w:w="22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Moderate</w:t>
            </w:r>
          </w:p>
        </w:tc>
        <w:tc>
          <w:tcPr>
            <w:tcW w:type="dxa" w:w="22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Smallest segment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Average Rating</w:t>
            </w:r>
          </w:p>
        </w:tc>
        <w:tc>
          <w:tcPr>
            <w:tcW w:type="dxa" w:w="2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Lowest of three</w:t>
            </w:r>
          </w:p>
        </w:tc>
        <w:tc>
          <w:tcPr>
            <w:tcW w:type="dxa" w:w="2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Highest of three</w:t>
            </w:r>
          </w:p>
        </w:tc>
        <w:tc>
          <w:tcPr>
            <w:tcW w:type="dxa" w:w="2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Moderate — below Mid-range</w:t>
            </w:r>
          </w:p>
        </w:tc>
      </w:tr>
      <w:tr>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Avg Discount %</w:t>
            </w:r>
          </w:p>
        </w:tc>
        <w:tc>
          <w:tcPr>
            <w:tcW w:type="dxa" w:w="22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Computed by notebook</w:t>
            </w:r>
          </w:p>
        </w:tc>
        <w:tc>
          <w:tcPr>
            <w:tcW w:type="dxa" w:w="22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Computed by notebook</w:t>
            </w:r>
          </w:p>
        </w:tc>
        <w:tc>
          <w:tcPr>
            <w:tcW w:type="dxa" w:w="22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Higher absolute ₹</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Discount Frequency</w:t>
            </w:r>
          </w:p>
        </w:tc>
        <w:tc>
          <w:tcPr>
            <w:tcW w:type="dxa" w:w="2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Computed by notebook</w:t>
            </w:r>
          </w:p>
        </w:tc>
        <w:tc>
          <w:tcPr>
            <w:tcW w:type="dxa" w:w="2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Computed by notebook</w:t>
            </w:r>
          </w:p>
        </w:tc>
        <w:tc>
          <w:tcPr>
            <w:tcW w:type="dxa" w:w="2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Computed by notebook</w:t>
            </w:r>
          </w:p>
        </w:tc>
      </w:tr>
    </w:tbl>
    <w:p>
      <w:pPr>
        <w:spacing w:after="50" w:before="50"/>
        <w:jc w:val="both"/>
      </w:pPr>
      <w:r>
        <w:rPr>
          <w:rFonts w:ascii="Arial" w:cs="Arial" w:eastAsia="Arial" w:hAnsi="Arial"/>
          <w:color w:val="1A6B3A"/>
          <w:sz w:val="21"/>
          <w:szCs w:val="21"/>
        </w:rPr>
        <w:t xml:space="preserve">Finding: Budget is volume-heavy but quality-poor. Mid-range is the satisfaction sweet spot. Premium underdelivers its price promise. Each segment needs independent promotional strategy.</w:t>
      </w:r>
    </w:p>
    <w:p>
      <w:r>
        <w:br w:type="page"/>
      </w:r>
    </w:p>
    <w:p>
      <w:pPr>
        <w:pBdr>
          <w:bottom w:val="single" w:color="1A6B3A" w:sz="12" w:space="4"/>
        </w:pBdr>
        <w:spacing w:after="120" w:before="280"/>
        <w:jc w:val="left"/>
      </w:pPr>
      <w:r>
        <w:rPr>
          <w:rFonts w:ascii="Arial" w:cs="Arial" w:eastAsia="Arial" w:hAnsi="Arial"/>
          <w:b/>
          <w:bCs/>
          <w:color w:val="1A6B3A"/>
          <w:sz w:val="30"/>
          <w:szCs w:val="30"/>
        </w:rPr>
        <w:t xml:space="preserve">10. Tableau Dashboard Design</w:t>
      </w:r>
    </w:p>
    <w:p>
      <w:pPr>
        <w:spacing w:after="50" w:before="50"/>
        <w:jc w:val="both"/>
      </w:pPr>
      <w:r>
        <w:rPr>
          <w:rFonts w:ascii="Arial" w:cs="Arial" w:eastAsia="Arial" w:hAnsi="Arial"/>
          <w:color w:val="1A1A1A"/>
          <w:sz w:val="21"/>
          <w:szCs w:val="21"/>
        </w:rPr>
        <w:t xml:space="preserve">Reference: notebooks/05_final_load_prep.ipynb · tableau/screenshots/ · tableau/dashboard_links.md</w:t>
      </w:r>
    </w:p>
    <w:p>
      <w:pPr>
        <w:spacing w:after="0" w:before="6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View</w:t>
            </w:r>
          </w:p>
        </w:tc>
        <w:tc>
          <w:tcPr>
            <w:tcW w:type="dxa" w:w="5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Charts &amp; Elements</w:t>
            </w:r>
          </w:p>
        </w:tc>
        <w:tc>
          <w:tcPr>
            <w:tcW w:type="dxa" w:w="2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Decision Supported</w:t>
            </w:r>
          </w:p>
        </w:tc>
      </w:tr>
      <w:tr>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Executive Summary</w:t>
            </w:r>
          </w:p>
        </w:tc>
        <w:tc>
          <w:tcPr>
            <w:tcW w:type="dxa" w:w="51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KPI scorecards (Avg Discount %, Avg Rating, Avg Sale Price, % Discounted); Category distribution bar; Price segment pie; Top-10 brands by rating</w:t>
            </w:r>
          </w:p>
        </w:tc>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Leadership: platform health at a glance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Operational Drill-Down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Category + sub-category filters; Scatter (Discount% vs Rating); Brand performance matrix (count vs rating); Segment comparison (rating, discount%, frequency)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Category managers: identify problem areas</w:t>
            </w:r>
          </w:p>
        </w:tc>
      </w:tr>
    </w:tbl>
    <w:p>
      <w:pPr>
        <w:spacing w:after="0" w:before="60"/>
        <w:jc w:val="left"/>
      </w:pPr>
      <w:r>
        <w:rPr>
          <w:rFonts w:ascii="Arial" w:cs="Arial" w:eastAsia="Arial" w:hAnsi="Arial"/>
          <w:color w:val="1A1A1A"/>
          <w:sz w:val="22"/>
          <w:szCs w:val="22"/>
        </w:rPr>
        <w:t xml:space="preserve"/>
      </w:r>
    </w:p>
    <w:p>
      <w:pPr>
        <w:spacing w:after="50" w:before="50"/>
        <w:jc w:val="both"/>
      </w:pPr>
      <w:r>
        <w:rPr>
          <w:rFonts w:ascii="Arial" w:cs="Arial" w:eastAsia="Arial" w:hAnsi="Arial"/>
          <w:color w:val="1A1A1A"/>
          <w:sz w:val="21"/>
          <w:szCs w:val="21"/>
        </w:rPr>
        <w:t xml:space="preserve">Interactive Filters: Multi-select category filter · Price segment (Budget/Mid-range/Premium) · Rating segment (Low/Medium/High) · Hover tooltips (product count, avg price, avg rating) on all charts.</w:t>
      </w:r>
    </w:p>
    <w:p>
      <w:pPr>
        <w:spacing w:after="50" w:before="50"/>
        <w:jc w:val="both"/>
      </w:pPr>
      <w:r>
        <w:rPr>
          <w:rFonts w:ascii="Arial" w:cs="Arial" w:eastAsia="Arial" w:hAnsi="Arial"/>
          <w:i/>
          <w:iCs/>
          <w:color w:val="555555"/>
          <w:sz w:val="19"/>
          <w:szCs w:val="19"/>
        </w:rPr>
        <w:t xml:space="preserve">Tableau Public URL: See tableau/dashboard_links.md in GitHub repository capstone2. Screenshots: tableau/screenshots/ directory.</w:t>
      </w:r>
    </w:p>
    <w:p>
      <w:pPr>
        <w:spacing w:after="0" w:before="8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11. Insights Summary</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4420"/>
        <w:gridCol w:w="4600"/>
      </w:tblGrid>
      <w:tr>
        <w:tc>
          <w:tcPr>
            <w:tcW w:type="dxa" w:w="34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w:t>
            </w:r>
          </w:p>
        </w:tc>
        <w:tc>
          <w:tcPr>
            <w:tcW w:type="dxa" w:w="442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Insight</w:t>
            </w:r>
          </w:p>
        </w:tc>
        <w:tc>
          <w:tcPr>
            <w:tcW w:type="dxa" w:w="460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Business Action Required</w:t>
            </w:r>
          </w:p>
        </w:tc>
      </w:tr>
      <w:tr>
        <w:tc>
          <w:tcPr>
            <w:tcW w:type="dxa" w:w="34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1</w:t>
            </w:r>
          </w:p>
        </w:tc>
        <w:tc>
          <w:tcPr>
            <w:tcW w:type="dxa" w:w="44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Budget products (≤₹100) dominate volume but have the lowest average ratings of all segments — the largest quality drag on the platform</w:t>
            </w:r>
          </w:p>
        </w:tc>
        <w:tc>
          <w:tcPr>
            <w:tcW w:type="dxa" w:w="4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Curate aggressively: remove/improve lowest-rated Budget SKUs</w:t>
            </w:r>
          </w:p>
        </w:tc>
      </w:tr>
      <w:tr>
        <w:tc>
          <w:tcPr>
            <w:tcW w:type="dxa" w:w="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2</w:t>
            </w:r>
          </w:p>
        </w:tc>
        <w:tc>
          <w:tcPr>
            <w:tcW w:type="dxa" w:w="4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Price–rating correlation is very weak; customers do not reward higher prices with better ratings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Decouple pricing decisions from rating-uplift expectations</w:t>
            </w:r>
          </w:p>
        </w:tc>
      </w:tr>
      <w:tr>
        <w:tc>
          <w:tcPr>
            <w:tcW w:type="dxa" w:w="34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3</w:t>
            </w:r>
          </w:p>
        </w:tc>
        <w:tc>
          <w:tcPr>
            <w:tcW w:type="dxa" w:w="44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Mid-range products (₹100–₹500) achieve the highest average ratings — the platform's quality sweet spot</w:t>
            </w:r>
          </w:p>
        </w:tc>
        <w:tc>
          <w:tcPr>
            <w:tcW w:type="dxa" w:w="4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Prioritise this segment in homepage and marketing promotion</w:t>
            </w:r>
          </w:p>
        </w:tc>
      </w:tr>
      <w:tr>
        <w:tc>
          <w:tcPr>
            <w:tcW w:type="dxa" w:w="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4</w:t>
            </w:r>
          </w:p>
        </w:tc>
        <w:tc>
          <w:tcPr>
            <w:tcW w:type="dxa" w:w="4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Very heavily discounted products trend toward lower ratings — deep discounts signal poor quality, not value</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Audit all products with discount_pct &gt;40% AND rating &lt;3.5</w:t>
            </w:r>
          </w:p>
        </w:tc>
      </w:tr>
      <w:tr>
        <w:tc>
          <w:tcPr>
            <w:tcW w:type="dxa" w:w="34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5</w:t>
            </w:r>
          </w:p>
        </w:tc>
        <w:tc>
          <w:tcPr>
            <w:tcW w:type="dxa" w:w="44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Top 5 brands dominate catalog share — high concentration creates opportunity and dependency risk</w:t>
            </w:r>
          </w:p>
        </w:tc>
        <w:tc>
          <w:tcPr>
            <w:tcW w:type="dxa" w:w="4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Diversify brand portfolio; negotiate exclusive deals with top-rated brands</w:t>
            </w:r>
          </w:p>
        </w:tc>
      </w:tr>
      <w:tr>
        <w:tc>
          <w:tcPr>
            <w:tcW w:type="dxa" w:w="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6</w:t>
            </w:r>
          </w:p>
        </w:tc>
        <w:tc>
          <w:tcPr>
            <w:tcW w:type="dxa" w:w="4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ANOVA confirms category membership significantly drives ratings — some categories structurally score higher</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Set category-level rating targets, not one platform-wide number</w:t>
            </w:r>
          </w:p>
        </w:tc>
      </w:tr>
      <w:tr>
        <w:tc>
          <w:tcPr>
            <w:tcW w:type="dxa" w:w="34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7</w:t>
            </w:r>
          </w:p>
        </w:tc>
        <w:tc>
          <w:tcPr>
            <w:tcW w:type="dxa" w:w="442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Near-universal discounting normalises markdowns, reducing promotional urgency for customers</w:t>
            </w:r>
          </w:p>
        </w:tc>
        <w:tc>
          <w:tcPr>
            <w:tcW w:type="dxa" w:w="4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Shift to selective, time-bound Sale Events rather than always-on discounts</w:t>
            </w:r>
          </w:p>
        </w:tc>
      </w:tr>
      <w:tr>
        <w:tc>
          <w:tcPr>
            <w:tcW w:type="dxa" w:w="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8</w:t>
            </w:r>
          </w:p>
        </w:tc>
        <w:tc>
          <w:tcPr>
            <w:tcW w:type="dxa" w:w="4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Missing ratings concentrate in newer/less-purchased product types, creating quality monitoring blind spots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Implement post-purchase rating prompts for newly listed products</w:t>
            </w:r>
          </w:p>
        </w:tc>
      </w:tr>
    </w:tbl>
    <w:p>
      <w:r>
        <w:br w:type="page"/>
      </w:r>
    </w:p>
    <w:p>
      <w:pPr>
        <w:pBdr>
          <w:bottom w:val="single" w:color="1A6B3A" w:sz="12" w:space="4"/>
        </w:pBdr>
        <w:spacing w:after="120" w:before="280"/>
        <w:jc w:val="left"/>
      </w:pPr>
      <w:r>
        <w:rPr>
          <w:rFonts w:ascii="Arial" w:cs="Arial" w:eastAsia="Arial" w:hAnsi="Arial"/>
          <w:b/>
          <w:bCs/>
          <w:color w:val="1A6B3A"/>
          <w:sz w:val="30"/>
          <w:szCs w:val="30"/>
        </w:rPr>
        <w:t xml:space="preserve">12. Recommendations</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600"/>
        <w:gridCol w:w="2000"/>
        <w:gridCol w:w="2160"/>
      </w:tblGrid>
      <w:tr>
        <w:tc>
          <w:tcPr>
            <w:tcW w:type="dxa" w:w="90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Priority</w:t>
            </w:r>
          </w:p>
        </w:tc>
        <w:tc>
          <w:tcPr>
            <w:tcW w:type="dxa" w:w="270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Recommendation</w:t>
            </w:r>
          </w:p>
        </w:tc>
        <w:tc>
          <w:tcPr>
            <w:tcW w:type="dxa" w:w="160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Insight Basis</w:t>
            </w:r>
          </w:p>
        </w:tc>
        <w:tc>
          <w:tcPr>
            <w:tcW w:type="dxa" w:w="200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Expected Impact</w:t>
            </w:r>
          </w:p>
        </w:tc>
        <w:tc>
          <w:tcPr>
            <w:tcW w:type="dxa" w:w="2160"/>
            <w:tcBorders>
              <w:top w:val="single" w:color="CCCCCC" w:sz="1"/>
              <w:left w:val="single" w:color="CCCCCC" w:sz="1"/>
              <w:bottom w:val="single" w:color="CCCCCC" w:sz="1"/>
              <w:right w:val="single" w:color="CCCCCC" w:sz="1"/>
            </w:tcBorders>
            <w:shd w:fill="155230"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Feasibility</w:t>
            </w:r>
          </w:p>
        </w:tc>
      </w:tr>
      <w:tr>
        <w:tc>
          <w:tcPr>
            <w:tcW w:type="dxa" w:w="9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1 — High</w:t>
            </w:r>
          </w:p>
        </w:tc>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Audit and delist deeply discounted, low-rated SKUs (discount_pct &gt;40%, rating &lt;3.5). Retain on probation if brand commits to quality improvement; otherwise delist and replace.</w:t>
            </w:r>
          </w:p>
        </w:tc>
        <w:tc>
          <w:tcPr>
            <w:tcW w:type="dxa" w:w="1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Insights 4, 2</w:t>
            </w:r>
          </w:p>
        </w:tc>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Platform avg rating ↑; reduced dissatisfied customers; better discount ROI</w:t>
            </w:r>
          </w:p>
        </w:tc>
        <w:tc>
          <w:tcPr>
            <w:tcW w:type="dxa" w:w="21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Medium — needs Category Mgmt + Vendor Relations coordination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2 — High</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Promote mid-range, high-rating brands (avg rating &gt;4.0, ≥10 products) on homepage, email, and app campaigns. Negotiate co-marketing budgets.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Insights 3, 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CTR on featured products ↑; stronger brand partnerships; improved new-customer conversion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High — Marketing can implement immediately from Tableau data</w:t>
            </w:r>
          </w:p>
        </w:tc>
      </w:tr>
      <w:tr>
        <w:tc>
          <w:tcPr>
            <w:tcW w:type="dxa" w:w="9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3 — Medium</w:t>
            </w:r>
          </w:p>
        </w:tc>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Content audit in sub-categories with avg rating &lt;3.5: standardise product descriptions (weight, ingredients, usage, storage); flag generic/missing descriptions for revision.</w:t>
            </w:r>
          </w:p>
        </w:tc>
        <w:tc>
          <w:tcPr>
            <w:tcW w:type="dxa" w:w="1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Insights 6, 8</w:t>
            </w:r>
          </w:p>
        </w:tc>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Return rate ↓; post-purchase satisfaction ↑; better organic search</w:t>
            </w:r>
          </w:p>
        </w:tc>
        <w:tc>
          <w:tcPr>
            <w:tcW w:type="dxa" w:w="21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Medium — requires content team allocation, no new technology needed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4 — Medium</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Replace always-on small discounts with structured Sale Events tied to festivals/seasons: bigger discounts, strictly time-limited, paired with high-rating products.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Insight 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Purchase urgency ↑; gross margin ↑ in non-event periods; stronger perceived value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Med-High — needs pricing system changes; pilot in 2–3 categories first</w:t>
            </w:r>
          </w:p>
        </w:tc>
      </w:tr>
      <w:tr>
        <w:tc>
          <w:tcPr>
            <w:tcW w:type="dxa" w:w="9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5 — Medium</w:t>
            </w:r>
          </w:p>
        </w:tc>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Launch 'Best Value' badge for Budget products with rating &gt;4.0. Create a removal pipeline for Budget SKUs with rating &lt;3.0 and &lt;50 reviews.</w:t>
            </w:r>
          </w:p>
        </w:tc>
        <w:tc>
          <w:tcPr>
            <w:tcW w:type="dxa" w:w="1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Insight 1</w:t>
            </w:r>
          </w:p>
        </w:tc>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Budget segment avg rating ↑; price-conscious customer satisfaction ↑</w:t>
            </w:r>
          </w:p>
        </w:tc>
        <w:tc>
          <w:tcPr>
            <w:tcW w:type="dxa" w:w="21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High — uses existing rating + pricing data, no new data needed</w:t>
            </w:r>
          </w:p>
        </w:tc>
      </w:tr>
    </w:tbl>
    <w:p>
      <w:pPr>
        <w:spacing w:after="0" w:before="8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13. Impact Estimation</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1800"/>
        <w:gridCol w:w="2760"/>
      </w:tblGrid>
      <w:tr>
        <w:tc>
          <w:tcPr>
            <w:tcW w:type="dxa" w:w="27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Recommendation</w:t>
            </w:r>
          </w:p>
        </w:tc>
        <w:tc>
          <w:tcPr>
            <w:tcW w:type="dxa" w:w="21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Target Metric</w:t>
            </w:r>
          </w:p>
        </w:tc>
        <w:tc>
          <w:tcPr>
            <w:tcW w:type="dxa" w:w="1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Estimated Impact</w:t>
            </w:r>
          </w:p>
        </w:tc>
        <w:tc>
          <w:tcPr>
            <w:tcW w:type="dxa" w:w="27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Logic</w:t>
            </w:r>
          </w:p>
        </w:tc>
      </w:tr>
      <w:tr>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Audit low-rated / high-discount SKUs</w:t>
            </w:r>
          </w:p>
        </w:tc>
        <w:tc>
          <w:tcPr>
            <w:tcW w:type="dxa" w:w="21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Platform avg rating</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 0.1–0.2 pts</w:t>
            </w:r>
          </w:p>
        </w:tc>
        <w:tc>
          <w:tcPr>
            <w:tcW w:type="dxa" w:w="27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Removing worst-rated SKUs shifts mean across 23K+ products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Mid-range brand promotion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Marketing CTR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 15–25%</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Higher-quality, better-rated products generate stronger engagement</w:t>
            </w:r>
          </w:p>
        </w:tc>
      </w:tr>
      <w:tr>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Product description improvement</w:t>
            </w:r>
          </w:p>
        </w:tc>
        <w:tc>
          <w:tcPr>
            <w:tcW w:type="dxa" w:w="21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Return rate (affected sub-categories)</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 5–10%</w:t>
            </w:r>
          </w:p>
        </w:tc>
        <w:tc>
          <w:tcPr>
            <w:tcW w:type="dxa" w:w="27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Better expectations reduce post-purchase dissatisfaction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Targeted promotion events</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Gross margin (non-event periods)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 2–4%</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Reducing always-on discounts on non-distressed inventory</w:t>
            </w:r>
          </w:p>
        </w:tc>
      </w:tr>
      <w:tr>
        <w:tc>
          <w:tcPr>
            <w:tcW w:type="dxa" w:w="27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Budget Quality Badge + removal</w:t>
            </w:r>
          </w:p>
        </w:tc>
        <w:tc>
          <w:tcPr>
            <w:tcW w:type="dxa" w:w="21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Budget segment avg rating</w:t>
            </w:r>
          </w:p>
        </w:tc>
        <w:tc>
          <w:tcPr>
            <w:tcW w:type="dxa" w:w="1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 0.2–0.3 pts</w:t>
            </w:r>
          </w:p>
        </w:tc>
        <w:tc>
          <w:tcPr>
            <w:tcW w:type="dxa" w:w="27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Curating the highest-volume segment has outsized impact</w:t>
            </w:r>
          </w:p>
        </w:tc>
      </w:tr>
    </w:tbl>
    <w:p>
      <w:pPr>
        <w:spacing w:after="50" w:before="50"/>
        <w:jc w:val="both"/>
      </w:pPr>
      <w:r>
        <w:rPr>
          <w:rFonts w:ascii="Arial" w:cs="Arial" w:eastAsia="Arial" w:hAnsi="Arial"/>
          <w:i/>
          <w:iCs/>
          <w:color w:val="555555"/>
          <w:sz w:val="19"/>
          <w:szCs w:val="19"/>
        </w:rPr>
        <w:t xml:space="preserve">Urgency: Quick-commerce rivals are actively investing in catalog quality. First-mover advantage in assortment curation will be a key differentiator in the next 12–18 months.</w:t>
      </w:r>
    </w:p>
    <w:p>
      <w:r>
        <w:br w:type="page"/>
      </w:r>
    </w:p>
    <w:p>
      <w:pPr>
        <w:pBdr>
          <w:bottom w:val="single" w:color="1A6B3A" w:sz="12" w:space="4"/>
        </w:pBdr>
        <w:spacing w:after="120" w:before="280"/>
        <w:jc w:val="left"/>
      </w:pPr>
      <w:r>
        <w:rPr>
          <w:rFonts w:ascii="Arial" w:cs="Arial" w:eastAsia="Arial" w:hAnsi="Arial"/>
          <w:b/>
          <w:bCs/>
          <w:color w:val="1A6B3A"/>
          <w:sz w:val="30"/>
          <w:szCs w:val="30"/>
        </w:rPr>
        <w:t xml:space="preserve">14.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Limitation</w:t>
            </w:r>
          </w:p>
        </w:tc>
        <w:tc>
          <w:tcPr>
            <w:tcW w:type="dxa" w:w="57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Implication</w:t>
            </w:r>
          </w:p>
        </w:tc>
      </w:tr>
      <w:tr>
        <w:tc>
          <w:tcPr>
            <w:tcW w:type="dxa" w:w="3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No sales volume data — catalog snapshot only</w:t>
            </w:r>
          </w:p>
        </w:tc>
        <w:tc>
          <w:tcPr>
            <w:tcW w:type="dxa" w:w="57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All products treated equally regardless of purchase frequency; a 1-review product equals a bestseller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Static snapshot — no time dimension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Directional pricing or rating trends cannot be identified; findings describe one point in time</w:t>
            </w:r>
          </w:p>
        </w:tc>
      </w:tr>
      <w:tr>
        <w:tc>
          <w:tcPr>
            <w:tcW w:type="dxa" w:w="3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Missing rating bias</w:t>
            </w:r>
          </w:p>
        </w:tc>
        <w:tc>
          <w:tcPr>
            <w:tcW w:type="dxa" w:w="57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If lower-quality products are less likely to be rated, observed average ratings are optimistically biased upward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Self-reported MRP (market_price)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Discount percentages may be overstated if MRP does not reflect true competitor prices</w:t>
            </w:r>
          </w:p>
        </w:tc>
      </w:tr>
      <w:tr>
        <w:tc>
          <w:tcPr>
            <w:tcW w:type="dxa" w:w="3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No customer segmentation</w:t>
            </w:r>
          </w:p>
        </w:tc>
        <w:tc>
          <w:tcPr>
            <w:tcW w:type="dxa" w:w="57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Price-sensitive and premium customer groups cannot be distinguished; recommendations are platform-wide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Correlation ≠ causation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Statistical associations found; we cannot conclude that reducing discounts will cause ratings to rise</w:t>
            </w:r>
          </w:p>
        </w:tc>
      </w:tr>
      <w:tr>
        <w:tc>
          <w:tcPr>
            <w:tcW w:type="dxa" w:w="36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Low regression R-squared</w:t>
            </w:r>
          </w:p>
        </w:tc>
        <w:tc>
          <w:tcPr>
            <w:tcW w:type="dxa" w:w="57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 features explain little rating variance — missing variables (description quality, brand age) not in dataset</w:t>
            </w:r>
          </w:p>
        </w:tc>
      </w:tr>
    </w:tbl>
    <w:p>
      <w:pPr>
        <w:spacing w:after="0" w:before="8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15. Future Scope</w:t>
      </w:r>
    </w:p>
    <w:p>
      <w:pPr>
        <w:pStyle w:val="ListParagraph"/>
        <w:numPr>
          <w:ilvl w:val="0"/>
          <w:numId w:val="2"/>
        </w:numPr>
        <w:spacing w:after="44" w:before="44"/>
      </w:pPr>
      <w:r>
        <w:rPr>
          <w:rFonts w:ascii="Arial" w:cs="Arial" w:eastAsia="Arial" w:hAnsi="Arial"/>
          <w:color w:val="1A1A1A"/>
          <w:sz w:val="21"/>
          <w:szCs w:val="21"/>
        </w:rPr>
        <w:t xml:space="preserve">Time-series analysis: Historical snapshots would reveal whether quality is improving or declining by category.</w:t>
      </w:r>
    </w:p>
    <w:p>
      <w:pPr>
        <w:pStyle w:val="ListParagraph"/>
        <w:numPr>
          <w:ilvl w:val="0"/>
          <w:numId w:val="2"/>
        </w:numPr>
        <w:spacing w:after="44" w:before="44"/>
      </w:pPr>
      <w:r>
        <w:rPr>
          <w:rFonts w:ascii="Arial" w:cs="Arial" w:eastAsia="Arial" w:hAnsi="Arial"/>
          <w:color w:val="1A1A1A"/>
          <w:sz w:val="21"/>
          <w:szCs w:val="21"/>
        </w:rPr>
        <w:t xml:space="preserve">Sales volume integration: Transaction data would enable sales-weighted analysis, giving high-selling products proportionally more influence.</w:t>
      </w:r>
    </w:p>
    <w:p>
      <w:pPr>
        <w:pStyle w:val="ListParagraph"/>
        <w:numPr>
          <w:ilvl w:val="0"/>
          <w:numId w:val="2"/>
        </w:numPr>
        <w:spacing w:after="44" w:before="44"/>
      </w:pPr>
      <w:r>
        <w:rPr>
          <w:rFonts w:ascii="Arial" w:cs="Arial" w:eastAsia="Arial" w:hAnsi="Arial"/>
          <w:color w:val="1A1A1A"/>
          <w:sz w:val="21"/>
          <w:szCs w:val="21"/>
        </w:rPr>
        <w:t xml:space="preserve">Predictive rating model: With description length, image count, and sub-category features, an ML model could predict a new product's likely rating before launch.</w:t>
      </w:r>
    </w:p>
    <w:p>
      <w:pPr>
        <w:pStyle w:val="ListParagraph"/>
        <w:numPr>
          <w:ilvl w:val="0"/>
          <w:numId w:val="2"/>
        </w:numPr>
        <w:spacing w:after="44" w:before="44"/>
      </w:pPr>
      <w:r>
        <w:rPr>
          <w:rFonts w:ascii="Arial" w:cs="Arial" w:eastAsia="Arial" w:hAnsi="Arial"/>
          <w:color w:val="1A1A1A"/>
          <w:sz w:val="21"/>
          <w:szCs w:val="21"/>
        </w:rPr>
        <w:t xml:space="preserve">Competitor benchmarking: Comparable data from Blinkit/JioMart would enable market-level pricing and assortment gap analysis.</w:t>
      </w:r>
    </w:p>
    <w:p>
      <w:pPr>
        <w:pStyle w:val="ListParagraph"/>
        <w:numPr>
          <w:ilvl w:val="0"/>
          <w:numId w:val="2"/>
        </w:numPr>
        <w:spacing w:after="44" w:before="44"/>
      </w:pPr>
      <w:r>
        <w:rPr>
          <w:rFonts w:ascii="Arial" w:cs="Arial" w:eastAsia="Arial" w:hAnsi="Arial"/>
          <w:color w:val="1A1A1A"/>
          <w:sz w:val="21"/>
          <w:szCs w:val="21"/>
        </w:rPr>
        <w:t xml:space="preserve">Real-time dashboard: Live data connection to BigBasket's warehouse would enable alert-based intervention on rating drops or anomalous discounts.</w:t>
      </w:r>
    </w:p>
    <w:p>
      <w:pPr>
        <w:spacing w:after="0" w:before="8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16. Conclusion</w:t>
      </w:r>
    </w:p>
    <w:p>
      <w:pPr>
        <w:spacing w:after="50" w:before="50"/>
        <w:jc w:val="both"/>
      </w:pPr>
      <w:r>
        <w:rPr>
          <w:rFonts w:ascii="Arial" w:cs="Arial" w:eastAsia="Arial" w:hAnsi="Arial"/>
          <w:color w:val="1A1A1A"/>
          <w:sz w:val="21"/>
          <w:szCs w:val="21"/>
        </w:rPr>
        <w:t xml:space="preserve">This project analysed 23,000+ BigBasket product listings across 10 structured Python analyses — from descriptive statistics and distribution analysis to Pearson correlation, brand rating benchmarking, and price segment deep-dives — to answer a core business question: what drives pricing, discounts, and customer satisfaction?</w:t>
      </w:r>
    </w:p>
    <w:p>
      <w:pPr>
        <w:spacing w:after="50" w:before="50"/>
        <w:jc w:val="both"/>
      </w:pPr>
      <w:r>
        <w:rPr>
          <w:rFonts w:ascii="Arial" w:cs="Arial" w:eastAsia="Arial" w:hAnsi="Arial"/>
          <w:color w:val="1A1A1A"/>
          <w:sz w:val="21"/>
          <w:szCs w:val="21"/>
        </w:rPr>
        <w:t xml:space="preserve">The central finding is that price does not drive customer satisfaction. The correlation between sale price and rating is very weak; deep discounts are associated with lower, not higher, ratings. What matters is product quality, brand reputation, and category membership — factors that pricing levers alone cannot fix.</w:t>
      </w:r>
    </w:p>
    <w:p>
      <w:pPr>
        <w:spacing w:after="50" w:before="50"/>
        <w:jc w:val="both"/>
      </w:pPr>
      <w:r>
        <w:rPr>
          <w:rFonts w:ascii="Arial" w:cs="Arial" w:eastAsia="Arial" w:hAnsi="Arial"/>
          <w:color w:val="1A1A1A"/>
          <w:sz w:val="21"/>
          <w:szCs w:val="21"/>
        </w:rPr>
        <w:t xml:space="preserve">The three highest-impact actions are: (1) auditing and delisting deeply discounted, low-rated SKUs; (2) promoting mid-range, high-rating brands in marketing; and (3) improving product descriptions in low-performing sub-categories. These interventions require no new data and can be actioned immediately — delivering measurable improvement in platform ratings, customer retention, and discount budget efficiency.</w:t>
      </w:r>
    </w:p>
    <w:p>
      <w:r>
        <w:br w:type="page"/>
      </w:r>
    </w:p>
    <w:p>
      <w:pPr>
        <w:pBdr>
          <w:bottom w:val="single" w:color="1A6B3A" w:sz="12" w:space="4"/>
        </w:pBdr>
        <w:spacing w:after="120" w:before="280"/>
        <w:jc w:val="left"/>
      </w:pPr>
      <w:r>
        <w:rPr>
          <w:rFonts w:ascii="Arial" w:cs="Arial" w:eastAsia="Arial" w:hAnsi="Arial"/>
          <w:b/>
          <w:bCs/>
          <w:color w:val="1A6B3A"/>
          <w:sz w:val="30"/>
          <w:szCs w:val="30"/>
        </w:rPr>
        <w:t xml:space="preserve">17. Appendix</w:t>
      </w:r>
    </w:p>
    <w:p>
      <w:pPr>
        <w:spacing w:after="80" w:before="200"/>
        <w:jc w:val="left"/>
      </w:pPr>
      <w:r>
        <w:rPr>
          <w:rFonts w:ascii="Arial" w:cs="Arial" w:eastAsia="Arial" w:hAnsi="Arial"/>
          <w:b/>
          <w:bCs/>
          <w:color w:val="1D4E89"/>
          <w:sz w:val="24"/>
          <w:szCs w:val="24"/>
        </w:rPr>
        <w:t xml:space="preserve">A. Notebook Map</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Notebook</w:t>
            </w:r>
          </w:p>
        </w:tc>
        <w:tc>
          <w:tcPr>
            <w:tcW w:type="dxa" w:w="55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Purpose</w:t>
            </w:r>
          </w:p>
        </w:tc>
      </w:tr>
      <w:tr>
        <w:tc>
          <w:tcPr>
            <w:tcW w:type="dxa" w:w="3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01_data_overview.ipynb</w:t>
            </w:r>
          </w:p>
        </w:tc>
        <w:tc>
          <w:tcPr>
            <w:tcW w:type="dxa" w:w="55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Initial data inspection — shape, dtypes, missing values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02_cleaning.ipynb</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Full ETL pipeline — cleaning steps and feature engineering</w:t>
            </w:r>
          </w:p>
        </w:tc>
      </w:tr>
      <w:tr>
        <w:tc>
          <w:tcPr>
            <w:tcW w:type="dxa" w:w="38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03_eda.ipynb / 04_statistical_analysis.ipynb</w:t>
            </w:r>
          </w:p>
        </w:tc>
        <w:tc>
          <w:tcPr>
            <w:tcW w:type="dxa" w:w="55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10 analyses — all EDA and statistical tests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05_final_load_prep.ipynb</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KPI computation and Tableau-ready CSV export</w:t>
            </w:r>
          </w:p>
        </w:tc>
      </w:tr>
    </w:tbl>
    <w:p>
      <w:pPr>
        <w:spacing w:after="0" w:before="80"/>
        <w:jc w:val="left"/>
      </w:pPr>
      <w:r>
        <w:rPr>
          <w:rFonts w:ascii="Arial" w:cs="Arial" w:eastAsia="Arial" w:hAnsi="Arial"/>
          <w:color w:val="1A1A1A"/>
          <w:sz w:val="22"/>
          <w:szCs w:val="22"/>
        </w:rPr>
        <w:t xml:space="preserve"/>
      </w:r>
    </w:p>
    <w:p>
      <w:pPr>
        <w:spacing w:after="80" w:before="200"/>
        <w:jc w:val="left"/>
      </w:pPr>
      <w:r>
        <w:rPr>
          <w:rFonts w:ascii="Arial" w:cs="Arial" w:eastAsia="Arial" w:hAnsi="Arial"/>
          <w:b/>
          <w:bCs/>
          <w:color w:val="1D4E89"/>
          <w:sz w:val="24"/>
          <w:szCs w:val="24"/>
        </w:rPr>
        <w:t xml:space="preserve">B. Statistical Tests Summary</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Test</w:t>
            </w:r>
          </w:p>
        </w:tc>
        <w:tc>
          <w:tcPr>
            <w:tcW w:type="dxa" w:w="22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Variables</w:t>
            </w:r>
          </w:p>
        </w:tc>
        <w:tc>
          <w:tcPr>
            <w:tcW w:type="dxa" w:w="200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Finding</w:t>
            </w:r>
          </w:p>
        </w:tc>
        <w:tc>
          <w:tcPr>
            <w:tcW w:type="dxa" w:w="3160"/>
            <w:tcBorders>
              <w:top w:val="single" w:color="CCCCCC" w:sz="1"/>
              <w:left w:val="single" w:color="CCCCCC" w:sz="1"/>
              <w:bottom w:val="single" w:color="CCCCCC" w:sz="1"/>
              <w:right w:val="single" w:color="CCCCCC" w:sz="1"/>
            </w:tcBorders>
            <w:shd w:fill="1A6B3A"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Conclusion</w:t>
            </w:r>
          </w:p>
        </w:tc>
      </w:tr>
      <w:tr>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Pearson Correlation</w:t>
            </w:r>
          </w:p>
        </w:tc>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sale_price vs rating</w:t>
            </w:r>
          </w:p>
        </w:tc>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Very weak (≈ 0)</w:t>
            </w:r>
          </w:p>
        </w:tc>
        <w:tc>
          <w:tcPr>
            <w:tcW w:type="dxa" w:w="31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 does not predict rating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Pearson Correlation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discount_pct vs rating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Weak negative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Higher discounts → lower ratings</w:t>
            </w:r>
          </w:p>
        </w:tc>
      </w:tr>
      <w:tr>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Group Comparison</w:t>
            </w:r>
          </w:p>
        </w:tc>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High vs low discount groups</w:t>
            </w:r>
          </w:p>
        </w:tc>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No positive difference in rating</w:t>
            </w:r>
          </w:p>
        </w:tc>
        <w:tc>
          <w:tcPr>
            <w:tcW w:type="dxa" w:w="31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Discounts don't improve satisfaction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One-way ANOVA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Rating across categories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Statistically significant difference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Category drives rating; set category-level targets</w:t>
            </w:r>
          </w:p>
        </w:tc>
      </w:tr>
      <w:tr>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Linear Regression</w:t>
            </w:r>
          </w:p>
        </w:tc>
        <w:tc>
          <w:tcPr>
            <w:tcW w:type="dxa" w:w="22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 features → rating</w:t>
            </w:r>
          </w:p>
        </w:tc>
        <w:tc>
          <w:tcPr>
            <w:tcW w:type="dxa" w:w="200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Low R-squared</w:t>
            </w:r>
          </w:p>
        </w:tc>
        <w:tc>
          <w:tcPr>
            <w:tcW w:type="dxa" w:w="3160"/>
            <w:tcBorders>
              <w:top w:val="single" w:color="CCCCCC" w:sz="1"/>
              <w:left w:val="single" w:color="CCCCCC" w:sz="1"/>
              <w:bottom w:val="single" w:color="CCCCCC" w:sz="1"/>
              <w:right w:val="single" w:color="CCCCCC" w:sz="1"/>
            </w:tcBorders>
            <w:shd w:fill="F2F8F4" w:val="clear"/>
            <w:tcMar>
              <w:top w:type="dxa" w:w="70"/>
              <w:left w:type="dxa" w:w="120"/>
              <w:bottom w:type="dxa" w:w="70"/>
              <w:right w:type="dxa" w:w="120"/>
            </w:tcMar>
          </w:tcPr>
          <w:p>
            <w:pPr>
              <w:spacing w:after="0" w:before="0"/>
              <w:jc w:val="left"/>
            </w:pPr>
            <w:r>
              <w:rPr>
                <w:rFonts w:ascii="Arial" w:cs="Arial" w:eastAsia="Arial" w:hAnsi="Arial"/>
                <w:color w:val="1A1A1A"/>
                <w:sz w:val="19"/>
                <w:szCs w:val="19"/>
              </w:rPr>
              <w:t xml:space="preserve">Price features poorly predict rating</w:t>
            </w:r>
          </w:p>
        </w:tc>
      </w:tr>
    </w:tbl>
    <w:p>
      <w:pPr>
        <w:spacing w:after="0" w:before="100"/>
        <w:jc w:val="left"/>
      </w:pPr>
      <w:r>
        <w:rPr>
          <w:rFonts w:ascii="Arial" w:cs="Arial" w:eastAsia="Arial" w:hAnsi="Arial"/>
          <w:color w:val="1A1A1A"/>
          <w:sz w:val="22"/>
          <w:szCs w:val="22"/>
        </w:rPr>
        <w:t xml:space="preserve"/>
      </w:r>
    </w:p>
    <w:p>
      <w:pPr>
        <w:pBdr>
          <w:bottom w:val="single" w:color="1A6B3A" w:sz="12" w:space="4"/>
        </w:pBdr>
        <w:spacing w:after="120" w:before="280"/>
        <w:jc w:val="left"/>
      </w:pPr>
      <w:r>
        <w:rPr>
          <w:rFonts w:ascii="Arial" w:cs="Arial" w:eastAsia="Arial" w:hAnsi="Arial"/>
          <w:b/>
          <w:bCs/>
          <w:color w:val="1A6B3A"/>
          <w:sz w:val="30"/>
          <w:szCs w:val="30"/>
        </w:rPr>
        <w:t xml:space="preserve">18. Contribution Matrix</w:t>
      </w:r>
    </w:p>
    <w:p>
      <w:pPr>
        <w:spacing w:after="0" w:before="40"/>
        <w:jc w:val="left"/>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Team Member</w:t>
            </w:r>
          </w:p>
        </w:tc>
        <w:tc>
          <w:tcPr>
            <w:tcW w:type="dxa" w:w="108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Dataset</w:t>
            </w:r>
          </w:p>
        </w:tc>
        <w:tc>
          <w:tcPr>
            <w:tcW w:type="dxa" w:w="108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ETL &amp; Cleaning</w:t>
            </w:r>
          </w:p>
        </w:tc>
        <w:tc>
          <w:tcPr>
            <w:tcW w:type="dxa" w:w="108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EDA</w:t>
            </w:r>
          </w:p>
        </w:tc>
        <w:tc>
          <w:tcPr>
            <w:tcW w:type="dxa" w:w="108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Statistical Analysis</w:t>
            </w:r>
          </w:p>
        </w:tc>
        <w:tc>
          <w:tcPr>
            <w:tcW w:type="dxa" w:w="108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Tableau</w:t>
            </w:r>
          </w:p>
        </w:tc>
        <w:tc>
          <w:tcPr>
            <w:tcW w:type="dxa" w:w="108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Report</w:t>
            </w:r>
          </w:p>
        </w:tc>
        <w:tc>
          <w:tcPr>
            <w:tcW w:type="dxa" w:w="1080"/>
            <w:tcBorders>
              <w:top w:val="single" w:color="CCCCCC" w:sz="1"/>
              <w:left w:val="single" w:color="CCCCCC" w:sz="1"/>
              <w:bottom w:val="single" w:color="CCCCCC" w:sz="1"/>
              <w:right w:val="single" w:color="CCCCCC" w:sz="1"/>
            </w:tcBorders>
            <w:shd w:fill="155230"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PPT &amp; Viva</w:t>
            </w:r>
          </w:p>
        </w:tc>
      </w:tr>
      <w:tr>
        <w:tc>
          <w:tcPr>
            <w:tcW w:type="dxa" w:w="180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Amiti Aneesh</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bCs/>
                <w:color w:val="1A6B3A"/>
                <w:sz w:val="18"/>
                <w:szCs w:val="18"/>
              </w:rPr>
              <w:t xml:space="preserve">✓ Lead</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bCs/>
                <w:color w:val="1A6B3A"/>
                <w:sz w:val="18"/>
                <w:szCs w:val="18"/>
              </w:rPr>
              <w:t xml:space="preserve">✓ Lead</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Lakshith</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A6B3A"/>
                <w:sz w:val="18"/>
                <w:szCs w:val="18"/>
              </w:rPr>
              <w:t xml:space="preserve">✓ Lead</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A6B3A"/>
                <w:sz w:val="18"/>
                <w:szCs w:val="18"/>
              </w:rPr>
              <w:t xml:space="preserve">✓ Lead</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r>
      <w:tr>
        <w:tc>
          <w:tcPr>
            <w:tcW w:type="dxa" w:w="180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Chanakya Shinde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bCs/>
                <w:color w:val="1A6B3A"/>
                <w:sz w:val="18"/>
                <w:szCs w:val="18"/>
              </w:rPr>
              <w:t xml:space="preserve">✓ Lead</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2F8F4"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Sai Praneeth Sharma</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bCs/>
                <w:color w:val="1A6B3A"/>
                <w:sz w:val="18"/>
                <w:szCs w:val="18"/>
              </w:rPr>
              <w:t xml:space="preserve">✓ Lead</w:t>
            </w:r>
          </w:p>
        </w:tc>
        <w:tc>
          <w:tcPr>
            <w:tcW w:type="dxa" w:w="10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before="0"/>
              <w:jc w:val="center"/>
            </w:pPr>
            <w:r>
              <w:rPr>
                <w:rFonts w:ascii="Arial" w:cs="Arial" w:eastAsia="Arial" w:hAnsi="Arial"/>
                <w:b w:val="false"/>
                <w:bCs w:val="false"/>
                <w:color w:val="1A1A1A"/>
                <w:sz w:val="18"/>
                <w:szCs w:val="18"/>
              </w:rPr>
              <w:t xml:space="preserve">✓</w:t>
            </w:r>
          </w:p>
        </w:tc>
      </w:tr>
    </w:tbl>
    <w:p>
      <w:pPr>
        <w:spacing w:after="0" w:before="80"/>
        <w:jc w:val="left"/>
      </w:pPr>
      <w:r>
        <w:rPr>
          <w:rFonts w:ascii="Arial" w:cs="Arial" w:eastAsia="Arial" w:hAnsi="Arial"/>
          <w:color w:val="1A1A1A"/>
          <w:sz w:val="22"/>
          <w:szCs w:val="22"/>
        </w:rPr>
        <w:t xml:space="preserve"/>
      </w:r>
    </w:p>
    <w:p>
      <w:pPr>
        <w:spacing w:after="50" w:before="50"/>
        <w:jc w:val="both"/>
      </w:pPr>
      <w:r>
        <w:rPr>
          <w:rFonts w:ascii="Arial" w:cs="Arial" w:eastAsia="Arial" w:hAnsi="Arial"/>
          <w:i/>
          <w:iCs/>
          <w:color w:val="555555"/>
          <w:sz w:val="19"/>
          <w:szCs w:val="19"/>
        </w:rPr>
        <w:t xml:space="preserve">✓ Lead = primary ownership.  ✓ = meaningful contribution.  – = not primary contributor for this phase. All claims correspond to committed notebooks and GitHub Insights/PR history.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Arial" w:cs="Arial" w:eastAsia="Arial" w:hAnsi="Arial"/>
      <w:b/>
      <w:bCs/>
      <w:color w:val="1A6B3A"/>
      <w:sz w:val="30"/>
      <w:szCs w:val="30"/>
    </w:rPr>
  </w:style>
  <w:style w:type="paragraph" w:styleId="Heading2">
    <w:name w:val="Heading 2"/>
    <w:basedOn w:val="Normal"/>
    <w:next w:val="Normal"/>
    <w:pPr>
      <w:spacing w:after="80" w:before="200"/>
      <w:outlineLvl w:val="1"/>
    </w:pPr>
    <w:rPr>
      <w:rFonts w:ascii="Arial" w:cs="Arial" w:eastAsia="Arial" w:hAnsi="Arial"/>
      <w:b/>
      <w:bCs/>
      <w:color w:val="1D4E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2026-04-28T17:35:17.058Z</dcterms:created>
  <dcterms:modified xsi:type="dcterms:W3CDTF">2026-04-28T17:35:17.059Z</dcterms:modified>
</cp:coreProperties>
</file>

<file path=docProps/custom.xml><?xml version="1.0" encoding="utf-8"?>
<Properties xmlns="http://schemas.openxmlformats.org/officeDocument/2006/custom-properties" xmlns:vt="http://schemas.openxmlformats.org/officeDocument/2006/docPropsVTypes"/>
</file>