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4BC7" w:rsidRDefault="00000000" w14:paraId="541DF405" w14:textId="77777777">
      <w:pPr>
        <w:pStyle w:val="Heading1"/>
        <w:spacing w:after="200"/>
      </w:pPr>
      <w:r>
        <w:rPr>
          <w:b/>
          <w:bCs/>
          <w:sz w:val="28"/>
          <w:szCs w:val="28"/>
        </w:rPr>
        <w:t>Model Card — Risk-Tiered Robo-Advisor Portfolio Allocation</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90"/>
        <w:gridCol w:w="7610"/>
      </w:tblGrid>
      <w:tr w:rsidR="00874BC7" w:rsidTr="08C063E1" w14:paraId="464B8569" w14:textId="77777777">
        <w:tblPrEx>
          <w:tblCellMar>
            <w:top w:w="0" w:type="dxa"/>
            <w:bottom w:w="0" w:type="dxa"/>
          </w:tblCellMar>
        </w:tblPrEx>
        <w:tc>
          <w:tcPr>
            <w:tcW w:w="2200" w:type="dxa"/>
            <w:shd w:val="clear" w:color="auto" w:fill="D9E2F3"/>
            <w:tcMar>
              <w:top w:w="100" w:type="dxa"/>
              <w:left w:w="100" w:type="dxa"/>
              <w:bottom w:w="100" w:type="dxa"/>
              <w:right w:w="100" w:type="dxa"/>
            </w:tcMar>
          </w:tcPr>
          <w:p w:rsidR="00874BC7" w:rsidRDefault="00000000" w14:paraId="1C2758B5" w14:textId="77777777">
            <w:pPr>
              <w:spacing w:after="120"/>
            </w:pPr>
            <w:r>
              <w:rPr>
                <w:b/>
                <w:bCs/>
              </w:rPr>
              <w:t>Model Details</w:t>
            </w:r>
          </w:p>
        </w:tc>
        <w:tc>
          <w:tcPr>
            <w:tcW w:w="7600" w:type="dxa"/>
            <w:tcMar>
              <w:top w:w="100" w:type="dxa"/>
              <w:left w:w="100" w:type="dxa"/>
              <w:bottom w:w="100" w:type="dxa"/>
              <w:right w:w="100" w:type="dxa"/>
            </w:tcMar>
          </w:tcPr>
          <w:p w:rsidR="00874BC7" w:rsidRDefault="00000000" w14:paraId="2C82D905" w14:textId="77777777">
            <w:pPr>
              <w:spacing w:after="120"/>
            </w:pPr>
            <w:r>
              <w:t xml:space="preserve">The system is a portfolio-allocation model that pairs a supervised machine-learning volatility forecaster with a constrained convex optimizer. An </w:t>
            </w:r>
            <w:r>
              <w:rPr>
                <w:b/>
                <w:bCs/>
              </w:rPr>
              <w:t>XGBoost regressor</w:t>
            </w:r>
            <w:r>
              <w:t xml:space="preserve"> predicts each asset's forward 30-day realized volatility; these forecasts feed a </w:t>
            </w:r>
            <w:r>
              <w:rPr>
                <w:b/>
                <w:bCs/>
              </w:rPr>
              <w:t>minimum-variance optimizer</w:t>
            </w:r>
            <w:r>
              <w:t xml:space="preserve"> whose allocations are bounded by predefined risk-tier weight limits. The model was built in </w:t>
            </w:r>
            <w:r>
              <w:rPr>
                <w:b/>
                <w:bCs/>
              </w:rPr>
              <w:t>AWS SageMaker</w:t>
            </w:r>
            <w:r>
              <w:t xml:space="preserve"> (Python, scikit-learn, XGBoost, cvxpy) with data served from </w:t>
            </w:r>
            <w:r>
              <w:rPr>
                <w:b/>
                <w:bCs/>
              </w:rPr>
              <w:t>Amazon Athena</w:t>
            </w:r>
            <w:r>
              <w:t xml:space="preserve"> over an </w:t>
            </w:r>
            <w:r>
              <w:rPr>
                <w:b/>
                <w:bCs/>
              </w:rPr>
              <w:t>S3</w:t>
            </w:r>
            <w:r>
              <w:t xml:space="preserve"> data lake.</w:t>
            </w:r>
          </w:p>
          <w:p w:rsidRPr="00D03119" w:rsidR="00D03119" w:rsidRDefault="00000000" w14:paraId="071D0412" w14:textId="7C39C54B">
            <w:pPr>
              <w:spacing w:after="120"/>
            </w:pPr>
            <w:r>
              <w:rPr>
                <w:b/>
                <w:bCs/>
              </w:rPr>
              <w:t xml:space="preserve">Author: </w:t>
            </w:r>
            <w:r w:rsidR="00D03119">
              <w:rPr>
                <w:b/>
                <w:bCs/>
              </w:rPr>
              <w:t>Group 1 – Amit Jain, Emrah Surucu, Todd Thiel</w:t>
            </w:r>
          </w:p>
          <w:p w:rsidR="00874BC7" w:rsidRDefault="00000000" w14:paraId="6331C914" w14:textId="6B145C12">
            <w:pPr>
              <w:spacing w:after="120"/>
            </w:pPr>
            <w:r>
              <w:rPr>
                <w:b/>
                <w:bCs/>
              </w:rPr>
              <w:t xml:space="preserve">Creation date: </w:t>
            </w:r>
            <w:r>
              <w:t>8/9/2026</w:t>
            </w:r>
          </w:p>
          <w:p w:rsidR="00874BC7" w:rsidRDefault="00000000" w14:paraId="07FBF111" w14:textId="77777777">
            <w:pPr>
              <w:spacing w:after="120"/>
            </w:pPr>
            <w:r>
              <w:rPr>
                <w:b/>
                <w:bCs/>
              </w:rPr>
              <w:t xml:space="preserve">For: </w:t>
            </w:r>
            <w:r>
              <w:t>MGMT 59900 Big Data Analytics in the Cloud at Purdue University — Group 1 Robo-Advisor Project (ML/Optimization layer)</w:t>
            </w:r>
          </w:p>
          <w:p w:rsidR="00874BC7" w:rsidRDefault="00000000" w14:paraId="675BC2C2" w14:textId="77777777">
            <w:pPr>
              <w:spacing w:after="120"/>
            </w:pPr>
            <w:r>
              <w:rPr>
                <w:b/>
                <w:bCs/>
              </w:rPr>
              <w:t xml:space="preserve">Model Version: </w:t>
            </w:r>
            <w:r>
              <w:t>1.0</w:t>
            </w:r>
          </w:p>
        </w:tc>
      </w:tr>
      <w:tr w:rsidR="00874BC7" w:rsidTr="08C063E1" w14:paraId="4A21A02A" w14:textId="77777777">
        <w:tblPrEx>
          <w:tblCellMar>
            <w:top w:w="0" w:type="dxa"/>
            <w:bottom w:w="0" w:type="dxa"/>
          </w:tblCellMar>
        </w:tblPrEx>
        <w:tc>
          <w:tcPr>
            <w:tcW w:w="2200" w:type="dxa"/>
            <w:shd w:val="clear" w:color="auto" w:fill="D9E2F3"/>
            <w:tcMar>
              <w:top w:w="100" w:type="dxa"/>
              <w:left w:w="100" w:type="dxa"/>
              <w:bottom w:w="100" w:type="dxa"/>
              <w:right w:w="100" w:type="dxa"/>
            </w:tcMar>
          </w:tcPr>
          <w:p w:rsidR="00874BC7" w:rsidRDefault="00000000" w14:paraId="5A49ED6D" w14:textId="77777777">
            <w:pPr>
              <w:spacing w:after="120"/>
            </w:pPr>
            <w:r>
              <w:rPr>
                <w:b/>
                <w:bCs/>
              </w:rPr>
              <w:t>Intended Use</w:t>
            </w:r>
          </w:p>
        </w:tc>
        <w:tc>
          <w:tcPr>
            <w:tcW w:w="7600" w:type="dxa"/>
            <w:tcMar>
              <w:top w:w="100" w:type="dxa"/>
              <w:left w:w="100" w:type="dxa"/>
              <w:bottom w:w="100" w:type="dxa"/>
              <w:right w:w="100" w:type="dxa"/>
            </w:tcMar>
          </w:tcPr>
          <w:p w:rsidR="00874BC7" w:rsidRDefault="00000000" w14:paraId="61265818" w14:textId="77777777">
            <w:pPr>
              <w:spacing w:after="120"/>
            </w:pPr>
            <w:r>
              <w:t xml:space="preserve">The model supports a </w:t>
            </w:r>
            <w:r>
              <w:rPr>
                <w:b/>
                <w:bCs/>
              </w:rPr>
              <w:t>general-public robo-advisor</w:t>
            </w:r>
            <w:r>
              <w:t xml:space="preserve"> scenario: a user answers a short set of financial-planning questions (capital, time horizon, risk tolerance) that </w:t>
            </w:r>
            <w:proofErr w:type="gramStart"/>
            <w:r>
              <w:t>map</w:t>
            </w:r>
            <w:proofErr w:type="gramEnd"/>
            <w:r>
              <w:t xml:space="preserve"> to one of five risk tiers, and the system returns a specific, diversified portfolio allocation for that tier.</w:t>
            </w:r>
          </w:p>
          <w:p w:rsidR="00874BC7" w:rsidRDefault="00000000" w14:paraId="170E8755" w14:textId="77777777">
            <w:pPr>
              <w:spacing w:after="120"/>
            </w:pPr>
            <w:r>
              <w:t xml:space="preserve">The model is designed to deliver </w:t>
            </w:r>
            <w:r>
              <w:rPr>
                <w:b/>
                <w:bCs/>
              </w:rPr>
              <w:t>superior risk-adjusted returns with reduced drawdowns</w:t>
            </w:r>
            <w:r>
              <w:t>, not to maximize raw return. It is a risk-management tool benchmarked against the S&amp;P 500 (SPY), not a return-maximizing or market-beating strategy.</w:t>
            </w:r>
          </w:p>
          <w:p w:rsidR="00874BC7" w:rsidRDefault="00000000" w14:paraId="236A8FF6" w14:textId="77777777">
            <w:pPr>
              <w:spacing w:after="120"/>
            </w:pPr>
            <w:r>
              <w:rPr>
                <w:b/>
                <w:bCs/>
              </w:rPr>
              <w:t>This model is intended for educational and demonstration purposes as a course deliverable. It should not be used for real investment decisions or to provide financial advice to actual investors.</w:t>
            </w:r>
          </w:p>
        </w:tc>
      </w:tr>
      <w:tr w:rsidR="00874BC7" w:rsidTr="08C063E1" w14:paraId="7F34E1E7" w14:textId="77777777">
        <w:tblPrEx>
          <w:tblCellMar>
            <w:top w:w="0" w:type="dxa"/>
            <w:bottom w:w="0" w:type="dxa"/>
          </w:tblCellMar>
        </w:tblPrEx>
        <w:tc>
          <w:tcPr>
            <w:tcW w:w="2200" w:type="dxa"/>
            <w:shd w:val="clear" w:color="auto" w:fill="D9E2F3"/>
            <w:tcMar>
              <w:top w:w="100" w:type="dxa"/>
              <w:left w:w="100" w:type="dxa"/>
              <w:bottom w:w="100" w:type="dxa"/>
              <w:right w:w="100" w:type="dxa"/>
            </w:tcMar>
          </w:tcPr>
          <w:p w:rsidR="00874BC7" w:rsidRDefault="00000000" w14:paraId="070A5642" w14:textId="77777777">
            <w:pPr>
              <w:spacing w:after="120"/>
            </w:pPr>
            <w:r>
              <w:rPr>
                <w:b/>
                <w:bCs/>
              </w:rPr>
              <w:t>Training Data</w:t>
            </w:r>
          </w:p>
        </w:tc>
        <w:tc>
          <w:tcPr>
            <w:tcW w:w="7600" w:type="dxa"/>
            <w:tcMar>
              <w:top w:w="100" w:type="dxa"/>
              <w:left w:w="100" w:type="dxa"/>
              <w:bottom w:w="100" w:type="dxa"/>
              <w:right w:w="100" w:type="dxa"/>
            </w:tcMar>
          </w:tcPr>
          <w:p w:rsidR="00874BC7" w:rsidRDefault="00000000" w14:paraId="329BE424" w14:textId="77777777">
            <w:pPr>
              <w:spacing w:after="120"/>
            </w:pPr>
            <w:r>
              <w:t>The model was trained on daily total-return series for a five-asset universe representing five asset classes, sourced through the project's ingestion pipeline (yfinance daily incremental, Stooq deep history, curated via Athena CTAS into a galaxy schema).</w:t>
            </w:r>
          </w:p>
          <w:p w:rsidR="00874BC7" w:rsidRDefault="00000000" w14:paraId="218BFB77" w14:textId="77777777">
            <w:pPr>
              <w:spacing w:after="120"/>
            </w:pPr>
            <w:r>
              <w:rPr>
                <w:b/>
                <w:bCs/>
              </w:rPr>
              <w:t>Asset universe (5 assets → 5 asset classes):</w:t>
            </w:r>
          </w:p>
          <w:p w:rsidR="00874BC7" w:rsidRDefault="00000000" w14:paraId="123ADB86" w14:textId="77777777">
            <w:pPr>
              <w:pStyle w:val="ListParagraph"/>
              <w:numPr>
                <w:ilvl w:val="0"/>
                <w:numId w:val="1"/>
              </w:numPr>
              <w:spacing w:after="60"/>
            </w:pPr>
            <w:r>
              <w:rPr>
                <w:b/>
                <w:bCs/>
              </w:rPr>
              <w:t>SPY</w:t>
            </w:r>
            <w:r>
              <w:t xml:space="preserve"> — US Equity (also serves as the backtest benchmark)</w:t>
            </w:r>
          </w:p>
          <w:p w:rsidR="00874BC7" w:rsidRDefault="00000000" w14:paraId="77046E9B" w14:textId="77777777">
            <w:pPr>
              <w:pStyle w:val="ListParagraph"/>
              <w:numPr>
                <w:ilvl w:val="0"/>
                <w:numId w:val="1"/>
              </w:numPr>
              <w:spacing w:after="60"/>
            </w:pPr>
            <w:r>
              <w:rPr>
                <w:b/>
                <w:bCs/>
              </w:rPr>
              <w:t>VXUS</w:t>
            </w:r>
            <w:r>
              <w:t xml:space="preserve"> — International Equity</w:t>
            </w:r>
          </w:p>
          <w:p w:rsidR="00874BC7" w:rsidRDefault="00000000" w14:paraId="001422BA" w14:textId="77777777">
            <w:pPr>
              <w:pStyle w:val="ListParagraph"/>
              <w:numPr>
                <w:ilvl w:val="0"/>
                <w:numId w:val="1"/>
              </w:numPr>
              <w:spacing w:after="60"/>
            </w:pPr>
            <w:r>
              <w:rPr>
                <w:b/>
                <w:bCs/>
              </w:rPr>
              <w:t>AGG</w:t>
            </w:r>
            <w:r>
              <w:t xml:space="preserve"> — Fixed Income (bonds)</w:t>
            </w:r>
          </w:p>
          <w:p w:rsidR="00874BC7" w:rsidRDefault="00000000" w14:paraId="1F84FB23" w14:textId="77777777">
            <w:pPr>
              <w:pStyle w:val="ListParagraph"/>
              <w:numPr>
                <w:ilvl w:val="0"/>
                <w:numId w:val="1"/>
              </w:numPr>
              <w:spacing w:after="60"/>
            </w:pPr>
            <w:r>
              <w:rPr>
                <w:b/>
                <w:bCs/>
              </w:rPr>
              <w:t>GLD</w:t>
            </w:r>
            <w:r>
              <w:t xml:space="preserve"> — Alternatives (gold)</w:t>
            </w:r>
          </w:p>
          <w:p w:rsidR="00874BC7" w:rsidRDefault="00000000" w14:paraId="4BA31EB8" w14:textId="77777777">
            <w:pPr>
              <w:pStyle w:val="ListParagraph"/>
              <w:numPr>
                <w:ilvl w:val="0"/>
                <w:numId w:val="1"/>
              </w:numPr>
              <w:spacing w:after="60"/>
            </w:pPr>
            <w:r>
              <w:rPr>
                <w:b/>
                <w:bCs/>
              </w:rPr>
              <w:t>BIL</w:t>
            </w:r>
            <w:r>
              <w:t xml:space="preserve"> — Cash (T-bills)</w:t>
            </w:r>
          </w:p>
          <w:p w:rsidR="00874BC7" w:rsidRDefault="00000000" w14:paraId="4BDE5860" w14:textId="77777777">
            <w:pPr>
              <w:spacing w:after="120"/>
            </w:pPr>
            <w:r>
              <w:rPr>
                <w:b/>
                <w:bCs/>
              </w:rPr>
              <w:t xml:space="preserve">Features (per asset, per date, all backward-looking): </w:t>
            </w:r>
            <w:r>
              <w:t>trailing realized volatility (21-day, 63-day, annualized); return momentum (21-, 63-, 126-day cumulative).</w:t>
            </w:r>
          </w:p>
          <w:p w:rsidR="00874BC7" w:rsidRDefault="00000000" w14:paraId="2BF14B6B" w14:textId="77777777">
            <w:pPr>
              <w:spacing w:after="120"/>
            </w:pPr>
            <w:r>
              <w:rPr>
                <w:b/>
                <w:bCs/>
              </w:rPr>
              <w:t xml:space="preserve">Target: </w:t>
            </w:r>
            <w:r>
              <w:t>forward 30-day realized volatility, computed strictly from returns after the observation date. The feature/target boundary was hand-audited to confirm no lookahead leakage.</w:t>
            </w:r>
          </w:p>
          <w:p w:rsidR="00874BC7" w:rsidRDefault="00000000" w14:paraId="62E71AF7" w14:textId="77777777">
            <w:pPr>
              <w:spacing w:after="120"/>
            </w:pPr>
            <w:r>
              <w:rPr>
                <w:b/>
                <w:bCs/>
              </w:rPr>
              <w:t xml:space="preserve">Common window: </w:t>
            </w:r>
            <w:r>
              <w:t>2011-07-29 → 2026-06-24 (~3,747 shared trading days), set by VXUS's inception — the earliest date all five assets coexist, required for a joint covariance matrix. Individual assets retain longer histories (SPY to 1993) used for model training.</w:t>
            </w:r>
          </w:p>
          <w:p w:rsidR="00874BC7" w:rsidRDefault="00000000" w14:paraId="5702606D" w14:textId="77777777">
            <w:pPr>
              <w:spacing w:after="120"/>
            </w:pPr>
            <w:r>
              <w:rPr>
                <w:b/>
                <w:bCs/>
              </w:rPr>
              <w:t xml:space="preserve">Rebalancing: </w:t>
            </w:r>
            <w:r>
              <w:t>180 month-end rebalance dates across the common window.</w:t>
            </w:r>
          </w:p>
          <w:p w:rsidR="00874BC7" w:rsidRDefault="00000000" w14:paraId="113A289E" w14:textId="77777777">
            <w:pPr>
              <w:spacing w:after="120"/>
            </w:pPr>
            <w:r>
              <w:rPr>
                <w:b/>
                <w:bCs/>
              </w:rPr>
              <w:t xml:space="preserve">Data-basis note: </w:t>
            </w:r>
            <w:r>
              <w:t xml:space="preserve">The four sleeve ETFs use total-return daily_return (dividends reinvested via adj_close); SPY's benchmark series is price-return only (no adj_close in fact_benchmark). This introduces a minor basis mismatch (~1.3%/yr dividend yield) </w:t>
            </w:r>
            <w:r>
              <w:lastRenderedPageBreak/>
              <w:t>affecting return levels but negligibly affecting the volatility and correlation estimates the optimizer depends on.</w:t>
            </w:r>
          </w:p>
        </w:tc>
      </w:tr>
      <w:tr w:rsidR="00874BC7" w:rsidTr="08C063E1" w14:paraId="4A037E41" w14:textId="77777777">
        <w:tblPrEx>
          <w:tblCellMar>
            <w:top w:w="0" w:type="dxa"/>
            <w:bottom w:w="0" w:type="dxa"/>
          </w:tblCellMar>
        </w:tblPrEx>
        <w:tc>
          <w:tcPr>
            <w:tcW w:w="2200" w:type="dxa"/>
            <w:shd w:val="clear" w:color="auto" w:fill="D9E2F3"/>
            <w:tcMar>
              <w:top w:w="100" w:type="dxa"/>
              <w:left w:w="100" w:type="dxa"/>
              <w:bottom w:w="100" w:type="dxa"/>
              <w:right w:w="100" w:type="dxa"/>
            </w:tcMar>
          </w:tcPr>
          <w:p w:rsidR="00874BC7" w:rsidRDefault="00000000" w14:paraId="2ACB5713" w14:textId="77777777">
            <w:pPr>
              <w:spacing w:after="120"/>
            </w:pPr>
            <w:r>
              <w:rPr>
                <w:b/>
                <w:bCs/>
              </w:rPr>
              <w:lastRenderedPageBreak/>
              <w:t>Methodology</w:t>
            </w:r>
          </w:p>
        </w:tc>
        <w:tc>
          <w:tcPr>
            <w:tcW w:w="7600" w:type="dxa"/>
            <w:tcMar>
              <w:top w:w="100" w:type="dxa"/>
              <w:left w:w="100" w:type="dxa"/>
              <w:bottom w:w="100" w:type="dxa"/>
              <w:right w:w="100" w:type="dxa"/>
            </w:tcMar>
          </w:tcPr>
          <w:p w:rsidR="00874BC7" w:rsidRDefault="00000000" w14:paraId="55D84CFE" w14:textId="77777777">
            <w:pPr>
              <w:spacing w:after="120"/>
            </w:pPr>
            <w:r>
              <w:rPr>
                <w:b/>
                <w:bCs/>
              </w:rPr>
              <w:t xml:space="preserve">The pipeline chains four stages, each validated before the </w:t>
            </w:r>
            <w:proofErr w:type="gramStart"/>
            <w:r>
              <w:rPr>
                <w:b/>
                <w:bCs/>
              </w:rPr>
              <w:t>next</w:t>
            </w:r>
            <w:proofErr w:type="gramEnd"/>
            <w:r>
              <w:rPr>
                <w:b/>
                <w:bCs/>
              </w:rPr>
              <w:t>:</w:t>
            </w:r>
          </w:p>
          <w:p w:rsidR="00874BC7" w:rsidRDefault="00000000" w14:paraId="660E84FD" w14:textId="77777777">
            <w:pPr>
              <w:spacing w:after="120"/>
            </w:pPr>
            <w:r>
              <w:rPr>
                <w:b/>
                <w:bCs/>
              </w:rPr>
              <w:t xml:space="preserve">1. Walk-forward volatility forecasting. </w:t>
            </w:r>
            <w:r>
              <w:t>At each of the 180 rebalance dates, an XGBoost regressor (300 trees, depth 4, learning rate 0.03) is refit on all data strictly prior to that date, then predicts forward volatility. This walk-forward design guarantees no lookahead: predictions at any date use only information available at that date (8,865 training rows at the earliest rebalance, growing to 27,595 at the last).</w:t>
            </w:r>
          </w:p>
          <w:p w:rsidR="00874BC7" w:rsidRDefault="00000000" w14:paraId="5610BA25" w14:textId="77777777">
            <w:pPr>
              <w:spacing w:after="120"/>
            </w:pPr>
            <w:r>
              <w:rPr>
                <w:b/>
                <w:bCs/>
              </w:rPr>
              <w:t xml:space="preserve">2. Hybrid volatility rule. </w:t>
            </w:r>
            <w:r>
              <w:t>Per-asset evaluation (see Per-Asset Performance) showed the ML model beats a naive persistence baseline on high-volatility assets but underperforms it on near-deterministic ones. The design responds by using ML-predicted volatility for SPY, GLD, and VXUS, and the baseline trailing-volatility estimate for AGG and BIL — applying each estimator only where it is demonstrably better.</w:t>
            </w:r>
          </w:p>
          <w:p w:rsidR="00874BC7" w:rsidRDefault="00000000" w14:paraId="5AC20E48" w14:textId="77777777">
            <w:pPr>
              <w:spacing w:after="120"/>
            </w:pPr>
            <w:r>
              <w:rPr>
                <w:b/>
                <w:bCs/>
              </w:rPr>
              <w:t xml:space="preserve">3. Covariance construction. </w:t>
            </w:r>
            <w:r>
              <w:t>The covariance matrix is built modularly as Σ = D · C · D. The diagonal D holds the hybrid volatility forecasts. The correlation matrix C is estimated over a trailing 126-day window and stabilized with Ledoit-Wolf shrinkage applied to the correlations only (analytic intensity λ ≈ 0.09 at the final date — modest shrinkage, indicating the raw correlations were already stable). Every assembled Σ was verified positive semi-definite across all 180 dates.</w:t>
            </w:r>
          </w:p>
          <w:p w:rsidR="00874BC7" w:rsidRDefault="00000000" w14:paraId="61AACF20" w14:textId="77777777">
            <w:pPr>
              <w:spacing w:after="120"/>
            </w:pPr>
            <w:r>
              <w:rPr>
                <w:b/>
                <w:bCs/>
              </w:rPr>
              <w:t xml:space="preserve">4. Bounded minimum-variance optimization. </w:t>
            </w:r>
            <w:r>
              <w:t xml:space="preserve">At each rebalance date and for each of the five tiers, cvxpy solves min wᵀΣw subject to </w:t>
            </w:r>
            <w:proofErr w:type="gramStart"/>
            <w:r>
              <w:t>fully-invested</w:t>
            </w:r>
            <w:proofErr w:type="gramEnd"/>
            <w:r>
              <w:t xml:space="preserve"> (Σw = 1), long-only (w ≥ 0), and per-asset weight bounds from the risk-tier lookup. All 900 optimizations (180 dates × 5 tiers) solved to optimality with zero bound violations.</w:t>
            </w:r>
          </w:p>
          <w:p w:rsidR="00874BC7" w:rsidRDefault="00000000" w14:paraId="19C5C1ED" w14:textId="5B1EFD64">
            <w:pPr>
              <w:spacing w:after="120"/>
            </w:pPr>
            <w:r w:rsidRPr="08C063E1" w:rsidR="3EE3F95C">
              <w:rPr>
                <w:b w:val="1"/>
                <w:bCs w:val="1"/>
              </w:rPr>
              <w:t xml:space="preserve">Backtest. </w:t>
            </w:r>
            <w:r w:rsidR="3EE3F95C">
              <w:rPr/>
              <w:t xml:space="preserve">Weights are held between rebalances (realistic monthly drift) and reset at each month-end, with a </w:t>
            </w:r>
            <w:r w:rsidR="3EE3F95C">
              <w:rPr/>
              <w:t>10 bps</w:t>
            </w:r>
            <w:r w:rsidR="3EE3F95C">
              <w:rPr/>
              <w:t xml:space="preserve"> turnover cost applied to the difference between the drifted portfolio and the new target. Performance is measured against SPY buy-and-hold over the identical window.</w:t>
            </w:r>
          </w:p>
          <w:p w:rsidR="00874BC7" w:rsidRDefault="00000000" w14:paraId="360A21A2" w14:textId="2A15D48C">
            <w:pPr>
              <w:spacing w:after="120"/>
            </w:pPr>
          </w:p>
          <w:p w:rsidR="00874BC7" w:rsidRDefault="00000000" w14:paraId="0403830E" w14:textId="428AFECA">
            <w:pPr>
              <w:spacing w:after="120"/>
            </w:pPr>
          </w:p>
          <w:p w:rsidR="00874BC7" w:rsidRDefault="00000000" w14:paraId="1BCE96B0" w14:textId="09B3948A">
            <w:pPr>
              <w:spacing w:after="120"/>
            </w:pPr>
          </w:p>
          <w:p w:rsidR="00874BC7" w:rsidRDefault="00000000" w14:paraId="59659040" w14:textId="632D139E">
            <w:pPr>
              <w:spacing w:after="120"/>
            </w:pPr>
          </w:p>
          <w:p w:rsidR="00874BC7" w:rsidRDefault="00000000" w14:paraId="5A34FACE" w14:textId="33260E89">
            <w:pPr>
              <w:spacing w:after="120"/>
            </w:pPr>
          </w:p>
          <w:p w:rsidR="00874BC7" w:rsidRDefault="00000000" w14:paraId="6128446E" w14:textId="7A37538A">
            <w:pPr>
              <w:spacing w:after="120"/>
            </w:pPr>
          </w:p>
          <w:p w:rsidR="00874BC7" w:rsidRDefault="00000000" w14:paraId="1D537799" w14:textId="5F71713F">
            <w:pPr>
              <w:spacing w:after="120"/>
            </w:pPr>
          </w:p>
          <w:p w:rsidR="00874BC7" w:rsidRDefault="00000000" w14:paraId="16253243" w14:textId="5B241F98">
            <w:pPr>
              <w:spacing w:after="120"/>
            </w:pPr>
          </w:p>
          <w:p w:rsidR="00874BC7" w:rsidRDefault="00000000" w14:paraId="6A2664DA" w14:textId="4894CD38">
            <w:pPr>
              <w:spacing w:after="120"/>
            </w:pPr>
          </w:p>
          <w:p w:rsidR="00874BC7" w:rsidRDefault="00000000" w14:paraId="29B6A226" w14:textId="63C5624C">
            <w:pPr>
              <w:spacing w:after="120"/>
            </w:pPr>
          </w:p>
          <w:p w:rsidR="00874BC7" w:rsidRDefault="00000000" w14:paraId="70D8D8D6" w14:textId="2D029E92">
            <w:pPr>
              <w:spacing w:after="120"/>
            </w:pPr>
          </w:p>
        </w:tc>
      </w:tr>
      <w:tr w:rsidR="00874BC7" w:rsidTr="08C063E1" w14:paraId="22351F7C" w14:textId="77777777">
        <w:tblPrEx>
          <w:tblCellMar>
            <w:top w:w="0" w:type="dxa"/>
            <w:bottom w:w="0" w:type="dxa"/>
          </w:tblCellMar>
        </w:tblPrEx>
        <w:tc>
          <w:tcPr>
            <w:tcW w:w="2200" w:type="dxa"/>
            <w:shd w:val="clear" w:color="auto" w:fill="D9E2F3"/>
            <w:tcMar>
              <w:top w:w="100" w:type="dxa"/>
              <w:left w:w="100" w:type="dxa"/>
              <w:bottom w:w="100" w:type="dxa"/>
              <w:right w:w="100" w:type="dxa"/>
            </w:tcMar>
          </w:tcPr>
          <w:p w:rsidR="00874BC7" w:rsidRDefault="00000000" w14:paraId="030F6ED7" w14:textId="77777777">
            <w:pPr>
              <w:spacing w:after="120"/>
            </w:pPr>
            <w:r>
              <w:rPr>
                <w:b/>
                <w:bCs/>
              </w:rPr>
              <w:t>Evaluation Results</w:t>
            </w:r>
          </w:p>
        </w:tc>
        <w:tc>
          <w:tcPr>
            <w:tcW w:w="7600" w:type="dxa"/>
            <w:tcMar>
              <w:top w:w="100" w:type="dxa"/>
              <w:left w:w="100" w:type="dxa"/>
              <w:bottom w:w="100" w:type="dxa"/>
              <w:right w:w="100" w:type="dxa"/>
            </w:tcMar>
          </w:tcPr>
          <w:p w:rsidR="00874BC7" w:rsidRDefault="00000000" w14:paraId="021BDED0" w14:textId="77777777">
            <w:pPr>
              <w:spacing w:after="120"/>
            </w:pPr>
            <w:r>
              <w:t xml:space="preserve">The volatility forecaster reduces pooled test RMSE by </w:t>
            </w:r>
            <w:r>
              <w:rPr>
                <w:b/>
                <w:bCs/>
              </w:rPr>
              <w:t>19.1%</w:t>
            </w:r>
            <w:r>
              <w:t xml:space="preserve"> versus the naive persistence baseline (forward vol ≈ trailing 21-day </w:t>
            </w:r>
            <w:proofErr w:type="gramStart"/>
            <w:r>
              <w:t>vol) —</w:t>
            </w:r>
            <w:proofErr w:type="gramEnd"/>
            <w:r>
              <w:t xml:space="preserve"> a strong result for financial volatility, where persistence is a hard baseline to beat. Feature importance is dominated by trailing volatility (vol_21 = 0.56, vol_63 = 0.27), confirming the model learns genuine volatility clustering, with momentum features contributing a secondary signal (~17% combined) consistent with the leverage effect.</w:t>
            </w:r>
          </w:p>
          <w:p w:rsidR="00874BC7" w:rsidRDefault="00000000" w14:paraId="023F8798" w14:textId="77777777">
            <w:pPr>
              <w:spacing w:after="120"/>
            </w:pPr>
            <w:r>
              <w:rPr>
                <w:b/>
                <w:bCs/>
              </w:rPr>
              <w:t>Backtest results (2011–2026, net of transaction costs):</w:t>
            </w:r>
          </w:p>
          <w:tbl>
            <w:tblPr>
              <w:tblW w:w="7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94"/>
              <w:gridCol w:w="1177"/>
              <w:gridCol w:w="1177"/>
              <w:gridCol w:w="1160"/>
              <w:gridCol w:w="1315"/>
              <w:gridCol w:w="1177"/>
            </w:tblGrid>
            <w:tr w:rsidR="00874BC7" w14:paraId="4C763014" w14:textId="77777777">
              <w:tblPrEx>
                <w:tblCellMar>
                  <w:top w:w="0" w:type="dxa"/>
                  <w:bottom w:w="0" w:type="dxa"/>
                </w:tblCellMar>
              </w:tblPrEx>
              <w:trPr>
                <w:tblHeader/>
              </w:trPr>
              <w:tc>
                <w:tcPr>
                  <w:tcW w:w="1500" w:type="dxa"/>
                  <w:shd w:val="clear" w:color="auto" w:fill="EDEDED"/>
                  <w:tcMar>
                    <w:top w:w="60" w:type="dxa"/>
                    <w:left w:w="80" w:type="dxa"/>
                    <w:bottom w:w="60" w:type="dxa"/>
                    <w:right w:w="80" w:type="dxa"/>
                  </w:tcMar>
                </w:tcPr>
                <w:p w:rsidR="00874BC7" w:rsidRDefault="00000000" w14:paraId="5A4174E8" w14:textId="77777777">
                  <w:r>
                    <w:rPr>
                      <w:b/>
                      <w:bCs/>
                    </w:rPr>
                    <w:t>Tier</w:t>
                  </w:r>
                </w:p>
              </w:tc>
              <w:tc>
                <w:tcPr>
                  <w:tcW w:w="1500" w:type="dxa"/>
                  <w:shd w:val="clear" w:color="auto" w:fill="EDEDED"/>
                  <w:tcMar>
                    <w:top w:w="60" w:type="dxa"/>
                    <w:left w:w="80" w:type="dxa"/>
                    <w:bottom w:w="60" w:type="dxa"/>
                    <w:right w:w="80" w:type="dxa"/>
                  </w:tcMar>
                </w:tcPr>
                <w:p w:rsidR="00874BC7" w:rsidRDefault="00000000" w14:paraId="1C2EBE51" w14:textId="77777777">
                  <w:pPr>
                    <w:jc w:val="center"/>
                  </w:pPr>
                  <w:r>
                    <w:rPr>
                      <w:b/>
                      <w:bCs/>
                    </w:rPr>
                    <w:t>Ann. Return</w:t>
                  </w:r>
                </w:p>
              </w:tc>
              <w:tc>
                <w:tcPr>
                  <w:tcW w:w="1500" w:type="dxa"/>
                  <w:shd w:val="clear" w:color="auto" w:fill="EDEDED"/>
                  <w:tcMar>
                    <w:top w:w="60" w:type="dxa"/>
                    <w:left w:w="80" w:type="dxa"/>
                    <w:bottom w:w="60" w:type="dxa"/>
                    <w:right w:w="80" w:type="dxa"/>
                  </w:tcMar>
                </w:tcPr>
                <w:p w:rsidR="00874BC7" w:rsidRDefault="00000000" w14:paraId="4847F87A" w14:textId="77777777">
                  <w:pPr>
                    <w:jc w:val="center"/>
                  </w:pPr>
                  <w:r>
                    <w:rPr>
                      <w:b/>
                      <w:bCs/>
                    </w:rPr>
                    <w:t>Ann. Vol</w:t>
                  </w:r>
                </w:p>
              </w:tc>
              <w:tc>
                <w:tcPr>
                  <w:tcW w:w="1500" w:type="dxa"/>
                  <w:shd w:val="clear" w:color="auto" w:fill="EDEDED"/>
                  <w:tcMar>
                    <w:top w:w="60" w:type="dxa"/>
                    <w:left w:w="80" w:type="dxa"/>
                    <w:bottom w:w="60" w:type="dxa"/>
                    <w:right w:w="80" w:type="dxa"/>
                  </w:tcMar>
                </w:tcPr>
                <w:p w:rsidR="00874BC7" w:rsidRDefault="00000000" w14:paraId="0C142C00" w14:textId="77777777">
                  <w:pPr>
                    <w:jc w:val="center"/>
                  </w:pPr>
                  <w:r>
                    <w:rPr>
                      <w:b/>
                      <w:bCs/>
                    </w:rPr>
                    <w:t>Sharpe</w:t>
                  </w:r>
                </w:p>
              </w:tc>
              <w:tc>
                <w:tcPr>
                  <w:tcW w:w="1500" w:type="dxa"/>
                  <w:shd w:val="clear" w:color="auto" w:fill="EDEDED"/>
                  <w:tcMar>
                    <w:top w:w="60" w:type="dxa"/>
                    <w:left w:w="80" w:type="dxa"/>
                    <w:bottom w:w="60" w:type="dxa"/>
                    <w:right w:w="80" w:type="dxa"/>
                  </w:tcMar>
                </w:tcPr>
                <w:p w:rsidR="00874BC7" w:rsidRDefault="00000000" w14:paraId="7CE8C101" w14:textId="77777777">
                  <w:pPr>
                    <w:jc w:val="center"/>
                  </w:pPr>
                  <w:r>
                    <w:rPr>
                      <w:b/>
                      <w:bCs/>
                    </w:rPr>
                    <w:t>Max Drawdown</w:t>
                  </w:r>
                </w:p>
              </w:tc>
              <w:tc>
                <w:tcPr>
                  <w:tcW w:w="1500" w:type="dxa"/>
                  <w:shd w:val="clear" w:color="auto" w:fill="EDEDED"/>
                  <w:tcMar>
                    <w:top w:w="60" w:type="dxa"/>
                    <w:left w:w="80" w:type="dxa"/>
                    <w:bottom w:w="60" w:type="dxa"/>
                    <w:right w:w="80" w:type="dxa"/>
                  </w:tcMar>
                </w:tcPr>
                <w:p w:rsidR="00874BC7" w:rsidRDefault="00000000" w14:paraId="08414EBC" w14:textId="77777777">
                  <w:pPr>
                    <w:jc w:val="center"/>
                  </w:pPr>
                  <w:r>
                    <w:rPr>
                      <w:b/>
                      <w:bCs/>
                    </w:rPr>
                    <w:t>Cum. Return (net)</w:t>
                  </w:r>
                </w:p>
              </w:tc>
            </w:tr>
            <w:tr w:rsidR="00874BC7" w14:paraId="713431DC" w14:textId="77777777">
              <w:tblPrEx>
                <w:tblCellMar>
                  <w:top w:w="0" w:type="dxa"/>
                  <w:bottom w:w="0" w:type="dxa"/>
                </w:tblCellMar>
              </w:tblPrEx>
              <w:tc>
                <w:tcPr>
                  <w:tcW w:w="1500" w:type="dxa"/>
                  <w:tcMar>
                    <w:top w:w="60" w:type="dxa"/>
                    <w:left w:w="80" w:type="dxa"/>
                    <w:bottom w:w="60" w:type="dxa"/>
                    <w:right w:w="80" w:type="dxa"/>
                  </w:tcMar>
                </w:tcPr>
                <w:p w:rsidR="00874BC7" w:rsidRDefault="00000000" w14:paraId="6D1F486E" w14:textId="77777777">
                  <w:r>
                    <w:t>Conservative</w:t>
                  </w:r>
                </w:p>
              </w:tc>
              <w:tc>
                <w:tcPr>
                  <w:tcW w:w="1500" w:type="dxa"/>
                  <w:tcMar>
                    <w:top w:w="60" w:type="dxa"/>
                    <w:left w:w="80" w:type="dxa"/>
                    <w:bottom w:w="60" w:type="dxa"/>
                    <w:right w:w="80" w:type="dxa"/>
                  </w:tcMar>
                </w:tcPr>
                <w:p w:rsidR="00874BC7" w:rsidRDefault="00000000" w14:paraId="642A83A4" w14:textId="77777777">
                  <w:pPr>
                    <w:jc w:val="center"/>
                  </w:pPr>
                  <w:r>
                    <w:t>3.14%</w:t>
                  </w:r>
                </w:p>
              </w:tc>
              <w:tc>
                <w:tcPr>
                  <w:tcW w:w="1500" w:type="dxa"/>
                  <w:tcMar>
                    <w:top w:w="60" w:type="dxa"/>
                    <w:left w:w="80" w:type="dxa"/>
                    <w:bottom w:w="60" w:type="dxa"/>
                    <w:right w:w="80" w:type="dxa"/>
                  </w:tcMar>
                </w:tcPr>
                <w:p w:rsidR="00874BC7" w:rsidRDefault="00000000" w14:paraId="4E092922" w14:textId="77777777">
                  <w:pPr>
                    <w:jc w:val="center"/>
                  </w:pPr>
                  <w:r>
                    <w:t>3.46%</w:t>
                  </w:r>
                </w:p>
              </w:tc>
              <w:tc>
                <w:tcPr>
                  <w:tcW w:w="1500" w:type="dxa"/>
                  <w:tcMar>
                    <w:top w:w="60" w:type="dxa"/>
                    <w:left w:w="80" w:type="dxa"/>
                    <w:bottom w:w="60" w:type="dxa"/>
                    <w:right w:w="80" w:type="dxa"/>
                  </w:tcMar>
                </w:tcPr>
                <w:p w:rsidR="00874BC7" w:rsidRDefault="00000000" w14:paraId="507BCF2C" w14:textId="77777777">
                  <w:pPr>
                    <w:jc w:val="center"/>
                  </w:pPr>
                  <w:r>
                    <w:t>0.908</w:t>
                  </w:r>
                </w:p>
              </w:tc>
              <w:tc>
                <w:tcPr>
                  <w:tcW w:w="1500" w:type="dxa"/>
                  <w:tcMar>
                    <w:top w:w="60" w:type="dxa"/>
                    <w:left w:w="80" w:type="dxa"/>
                    <w:bottom w:w="60" w:type="dxa"/>
                    <w:right w:w="80" w:type="dxa"/>
                  </w:tcMar>
                </w:tcPr>
                <w:p w:rsidR="00874BC7" w:rsidRDefault="00000000" w14:paraId="38C7B250" w14:textId="77777777">
                  <w:pPr>
                    <w:jc w:val="center"/>
                  </w:pPr>
                  <w:r>
                    <w:t>-12.96%</w:t>
                  </w:r>
                </w:p>
              </w:tc>
              <w:tc>
                <w:tcPr>
                  <w:tcW w:w="1500" w:type="dxa"/>
                  <w:tcMar>
                    <w:top w:w="60" w:type="dxa"/>
                    <w:left w:w="80" w:type="dxa"/>
                    <w:bottom w:w="60" w:type="dxa"/>
                    <w:right w:w="80" w:type="dxa"/>
                  </w:tcMar>
                </w:tcPr>
                <w:p w:rsidR="00874BC7" w:rsidRDefault="00000000" w14:paraId="60106D0B" w14:textId="77777777">
                  <w:pPr>
                    <w:jc w:val="center"/>
                  </w:pPr>
                  <w:r>
                    <w:t>58.9%</w:t>
                  </w:r>
                </w:p>
              </w:tc>
            </w:tr>
            <w:tr w:rsidR="00874BC7" w14:paraId="5CF4B4A5" w14:textId="77777777">
              <w:tblPrEx>
                <w:tblCellMar>
                  <w:top w:w="0" w:type="dxa"/>
                  <w:bottom w:w="0" w:type="dxa"/>
                </w:tblCellMar>
              </w:tblPrEx>
              <w:tc>
                <w:tcPr>
                  <w:tcW w:w="1500" w:type="dxa"/>
                  <w:tcMar>
                    <w:top w:w="60" w:type="dxa"/>
                    <w:left w:w="80" w:type="dxa"/>
                    <w:bottom w:w="60" w:type="dxa"/>
                    <w:right w:w="80" w:type="dxa"/>
                  </w:tcMar>
                </w:tcPr>
                <w:p w:rsidR="00874BC7" w:rsidRDefault="00000000" w14:paraId="7A69B037" w14:textId="77777777">
                  <w:r>
                    <w:t>Moderate-Conservative</w:t>
                  </w:r>
                </w:p>
              </w:tc>
              <w:tc>
                <w:tcPr>
                  <w:tcW w:w="1500" w:type="dxa"/>
                  <w:tcMar>
                    <w:top w:w="60" w:type="dxa"/>
                    <w:left w:w="80" w:type="dxa"/>
                    <w:bottom w:w="60" w:type="dxa"/>
                    <w:right w:w="80" w:type="dxa"/>
                  </w:tcMar>
                </w:tcPr>
                <w:p w:rsidR="00874BC7" w:rsidRDefault="00000000" w14:paraId="439A3261" w14:textId="77777777">
                  <w:pPr>
                    <w:jc w:val="center"/>
                  </w:pPr>
                  <w:r>
                    <w:t>4.46%</w:t>
                  </w:r>
                </w:p>
              </w:tc>
              <w:tc>
                <w:tcPr>
                  <w:tcW w:w="1500" w:type="dxa"/>
                  <w:tcMar>
                    <w:top w:w="60" w:type="dxa"/>
                    <w:left w:w="80" w:type="dxa"/>
                    <w:bottom w:w="60" w:type="dxa"/>
                    <w:right w:w="80" w:type="dxa"/>
                  </w:tcMar>
                </w:tcPr>
                <w:p w:rsidR="00874BC7" w:rsidRDefault="00000000" w14:paraId="0D8B8B95" w14:textId="77777777">
                  <w:pPr>
                    <w:jc w:val="center"/>
                  </w:pPr>
                  <w:r>
                    <w:t>5.05%</w:t>
                  </w:r>
                </w:p>
              </w:tc>
              <w:tc>
                <w:tcPr>
                  <w:tcW w:w="1500" w:type="dxa"/>
                  <w:tcMar>
                    <w:top w:w="60" w:type="dxa"/>
                    <w:left w:w="80" w:type="dxa"/>
                    <w:bottom w:w="60" w:type="dxa"/>
                    <w:right w:w="80" w:type="dxa"/>
                  </w:tcMar>
                </w:tcPr>
                <w:p w:rsidR="00874BC7" w:rsidRDefault="00000000" w14:paraId="3D768C86" w14:textId="77777777">
                  <w:pPr>
                    <w:jc w:val="center"/>
                  </w:pPr>
                  <w:r>
                    <w:t>0.883</w:t>
                  </w:r>
                </w:p>
              </w:tc>
              <w:tc>
                <w:tcPr>
                  <w:tcW w:w="1500" w:type="dxa"/>
                  <w:tcMar>
                    <w:top w:w="60" w:type="dxa"/>
                    <w:left w:w="80" w:type="dxa"/>
                    <w:bottom w:w="60" w:type="dxa"/>
                    <w:right w:w="80" w:type="dxa"/>
                  </w:tcMar>
                </w:tcPr>
                <w:p w:rsidR="00874BC7" w:rsidRDefault="00000000" w14:paraId="07F9CFC4" w14:textId="77777777">
                  <w:pPr>
                    <w:jc w:val="center"/>
                  </w:pPr>
                  <w:r>
                    <w:t>-15.55%</w:t>
                  </w:r>
                </w:p>
              </w:tc>
              <w:tc>
                <w:tcPr>
                  <w:tcW w:w="1500" w:type="dxa"/>
                  <w:tcMar>
                    <w:top w:w="60" w:type="dxa"/>
                    <w:left w:w="80" w:type="dxa"/>
                    <w:bottom w:w="60" w:type="dxa"/>
                    <w:right w:w="80" w:type="dxa"/>
                  </w:tcMar>
                </w:tcPr>
                <w:p w:rsidR="00874BC7" w:rsidRDefault="00000000" w14:paraId="15A458F0" w14:textId="77777777">
                  <w:pPr>
                    <w:jc w:val="center"/>
                  </w:pPr>
                  <w:r>
                    <w:t>92.4%</w:t>
                  </w:r>
                </w:p>
              </w:tc>
            </w:tr>
            <w:tr w:rsidR="00874BC7" w14:paraId="65E618E5" w14:textId="77777777">
              <w:tblPrEx>
                <w:tblCellMar>
                  <w:top w:w="0" w:type="dxa"/>
                  <w:bottom w:w="0" w:type="dxa"/>
                </w:tblCellMar>
              </w:tblPrEx>
              <w:tc>
                <w:tcPr>
                  <w:tcW w:w="1500" w:type="dxa"/>
                  <w:tcMar>
                    <w:top w:w="60" w:type="dxa"/>
                    <w:left w:w="80" w:type="dxa"/>
                    <w:bottom w:w="60" w:type="dxa"/>
                    <w:right w:w="80" w:type="dxa"/>
                  </w:tcMar>
                </w:tcPr>
                <w:p w:rsidR="00874BC7" w:rsidRDefault="00000000" w14:paraId="32C30664" w14:textId="77777777">
                  <w:r>
                    <w:t>Moderate</w:t>
                  </w:r>
                </w:p>
              </w:tc>
              <w:tc>
                <w:tcPr>
                  <w:tcW w:w="1500" w:type="dxa"/>
                  <w:tcMar>
                    <w:top w:w="60" w:type="dxa"/>
                    <w:left w:w="80" w:type="dxa"/>
                    <w:bottom w:w="60" w:type="dxa"/>
                    <w:right w:w="80" w:type="dxa"/>
                  </w:tcMar>
                </w:tcPr>
                <w:p w:rsidR="00874BC7" w:rsidRDefault="00000000" w14:paraId="7ED90C1B" w14:textId="77777777">
                  <w:pPr>
                    <w:jc w:val="center"/>
                  </w:pPr>
                  <w:r>
                    <w:t>5.87%</w:t>
                  </w:r>
                </w:p>
              </w:tc>
              <w:tc>
                <w:tcPr>
                  <w:tcW w:w="1500" w:type="dxa"/>
                  <w:tcMar>
                    <w:top w:w="60" w:type="dxa"/>
                    <w:left w:w="80" w:type="dxa"/>
                    <w:bottom w:w="60" w:type="dxa"/>
                    <w:right w:w="80" w:type="dxa"/>
                  </w:tcMar>
                </w:tcPr>
                <w:p w:rsidR="00874BC7" w:rsidRDefault="00000000" w14:paraId="67B26995" w14:textId="77777777">
                  <w:pPr>
                    <w:jc w:val="center"/>
                  </w:pPr>
                  <w:r>
                    <w:t>6.58%</w:t>
                  </w:r>
                </w:p>
              </w:tc>
              <w:tc>
                <w:tcPr>
                  <w:tcW w:w="1500" w:type="dxa"/>
                  <w:tcMar>
                    <w:top w:w="60" w:type="dxa"/>
                    <w:left w:w="80" w:type="dxa"/>
                    <w:bottom w:w="60" w:type="dxa"/>
                    <w:right w:w="80" w:type="dxa"/>
                  </w:tcMar>
                </w:tcPr>
                <w:p w:rsidR="00874BC7" w:rsidRDefault="00000000" w14:paraId="42896A0C" w14:textId="77777777">
                  <w:pPr>
                    <w:jc w:val="center"/>
                  </w:pPr>
                  <w:r>
                    <w:t>0.892</w:t>
                  </w:r>
                </w:p>
              </w:tc>
              <w:tc>
                <w:tcPr>
                  <w:tcW w:w="1500" w:type="dxa"/>
                  <w:tcMar>
                    <w:top w:w="60" w:type="dxa"/>
                    <w:left w:w="80" w:type="dxa"/>
                    <w:bottom w:w="60" w:type="dxa"/>
                    <w:right w:w="80" w:type="dxa"/>
                  </w:tcMar>
                </w:tcPr>
                <w:p w:rsidR="00874BC7" w:rsidRDefault="00000000" w14:paraId="2CB61DEF" w14:textId="77777777">
                  <w:pPr>
                    <w:jc w:val="center"/>
                  </w:pPr>
                  <w:r>
                    <w:t>-17.13%</w:t>
                  </w:r>
                </w:p>
              </w:tc>
              <w:tc>
                <w:tcPr>
                  <w:tcW w:w="1500" w:type="dxa"/>
                  <w:tcMar>
                    <w:top w:w="60" w:type="dxa"/>
                    <w:left w:w="80" w:type="dxa"/>
                    <w:bottom w:w="60" w:type="dxa"/>
                    <w:right w:w="80" w:type="dxa"/>
                  </w:tcMar>
                </w:tcPr>
                <w:p w:rsidR="00874BC7" w:rsidRDefault="00000000" w14:paraId="61A72FEA" w14:textId="77777777">
                  <w:pPr>
                    <w:jc w:val="center"/>
                  </w:pPr>
                  <w:r>
                    <w:t>135.1%</w:t>
                  </w:r>
                </w:p>
              </w:tc>
            </w:tr>
            <w:tr w:rsidR="00874BC7" w14:paraId="35BED073" w14:textId="77777777">
              <w:tblPrEx>
                <w:tblCellMar>
                  <w:top w:w="0" w:type="dxa"/>
                  <w:bottom w:w="0" w:type="dxa"/>
                </w:tblCellMar>
              </w:tblPrEx>
              <w:tc>
                <w:tcPr>
                  <w:tcW w:w="1500" w:type="dxa"/>
                  <w:tcMar>
                    <w:top w:w="60" w:type="dxa"/>
                    <w:left w:w="80" w:type="dxa"/>
                    <w:bottom w:w="60" w:type="dxa"/>
                    <w:right w:w="80" w:type="dxa"/>
                  </w:tcMar>
                </w:tcPr>
                <w:p w:rsidR="00874BC7" w:rsidRDefault="00000000" w14:paraId="4755F0D1" w14:textId="77777777">
                  <w:r>
                    <w:t>Moderate-Aggressive</w:t>
                  </w:r>
                </w:p>
              </w:tc>
              <w:tc>
                <w:tcPr>
                  <w:tcW w:w="1500" w:type="dxa"/>
                  <w:tcMar>
                    <w:top w:w="60" w:type="dxa"/>
                    <w:left w:w="80" w:type="dxa"/>
                    <w:bottom w:w="60" w:type="dxa"/>
                    <w:right w:w="80" w:type="dxa"/>
                  </w:tcMar>
                </w:tcPr>
                <w:p w:rsidR="00874BC7" w:rsidRDefault="00000000" w14:paraId="470463C8" w14:textId="77777777">
                  <w:pPr>
                    <w:jc w:val="center"/>
                  </w:pPr>
                  <w:r>
                    <w:t>7.61%</w:t>
                  </w:r>
                </w:p>
              </w:tc>
              <w:tc>
                <w:tcPr>
                  <w:tcW w:w="1500" w:type="dxa"/>
                  <w:tcMar>
                    <w:top w:w="60" w:type="dxa"/>
                    <w:left w:w="80" w:type="dxa"/>
                    <w:bottom w:w="60" w:type="dxa"/>
                    <w:right w:w="80" w:type="dxa"/>
                  </w:tcMar>
                </w:tcPr>
                <w:p w:rsidR="00874BC7" w:rsidRDefault="00000000" w14:paraId="0E74D20A" w14:textId="77777777">
                  <w:pPr>
                    <w:jc w:val="center"/>
                  </w:pPr>
                  <w:r>
                    <w:t>8.95%</w:t>
                  </w:r>
                </w:p>
              </w:tc>
              <w:tc>
                <w:tcPr>
                  <w:tcW w:w="1500" w:type="dxa"/>
                  <w:tcMar>
                    <w:top w:w="60" w:type="dxa"/>
                    <w:left w:w="80" w:type="dxa"/>
                    <w:bottom w:w="60" w:type="dxa"/>
                    <w:right w:w="80" w:type="dxa"/>
                  </w:tcMar>
                </w:tcPr>
                <w:p w:rsidR="00874BC7" w:rsidRDefault="00000000" w14:paraId="32AA9011" w14:textId="77777777">
                  <w:pPr>
                    <w:jc w:val="center"/>
                  </w:pPr>
                  <w:r>
                    <w:t>0.849</w:t>
                  </w:r>
                </w:p>
              </w:tc>
              <w:tc>
                <w:tcPr>
                  <w:tcW w:w="1500" w:type="dxa"/>
                  <w:tcMar>
                    <w:top w:w="60" w:type="dxa"/>
                    <w:left w:w="80" w:type="dxa"/>
                    <w:bottom w:w="60" w:type="dxa"/>
                    <w:right w:w="80" w:type="dxa"/>
                  </w:tcMar>
                </w:tcPr>
                <w:p w:rsidR="00874BC7" w:rsidRDefault="00000000" w14:paraId="5465AC20" w14:textId="77777777">
                  <w:pPr>
                    <w:jc w:val="center"/>
                  </w:pPr>
                  <w:r>
                    <w:t>-18.99%</w:t>
                  </w:r>
                </w:p>
              </w:tc>
              <w:tc>
                <w:tcPr>
                  <w:tcW w:w="1500" w:type="dxa"/>
                  <w:tcMar>
                    <w:top w:w="60" w:type="dxa"/>
                    <w:left w:w="80" w:type="dxa"/>
                    <w:bottom w:w="60" w:type="dxa"/>
                    <w:right w:w="80" w:type="dxa"/>
                  </w:tcMar>
                </w:tcPr>
                <w:p w:rsidR="00874BC7" w:rsidRDefault="00000000" w14:paraId="5B891A32" w14:textId="77777777">
                  <w:pPr>
                    <w:jc w:val="center"/>
                  </w:pPr>
                  <w:r>
                    <w:t>200.1%</w:t>
                  </w:r>
                </w:p>
              </w:tc>
            </w:tr>
            <w:tr w:rsidR="00874BC7" w14:paraId="0A51FD3F" w14:textId="77777777">
              <w:tblPrEx>
                <w:tblCellMar>
                  <w:top w:w="0" w:type="dxa"/>
                  <w:bottom w:w="0" w:type="dxa"/>
                </w:tblCellMar>
              </w:tblPrEx>
              <w:tc>
                <w:tcPr>
                  <w:tcW w:w="1500" w:type="dxa"/>
                  <w:tcMar>
                    <w:top w:w="60" w:type="dxa"/>
                    <w:left w:w="80" w:type="dxa"/>
                    <w:bottom w:w="60" w:type="dxa"/>
                    <w:right w:w="80" w:type="dxa"/>
                  </w:tcMar>
                </w:tcPr>
                <w:p w:rsidR="00874BC7" w:rsidRDefault="00000000" w14:paraId="744F8EE9" w14:textId="77777777">
                  <w:r>
                    <w:t>Aggressive</w:t>
                  </w:r>
                </w:p>
              </w:tc>
              <w:tc>
                <w:tcPr>
                  <w:tcW w:w="1500" w:type="dxa"/>
                  <w:tcMar>
                    <w:top w:w="60" w:type="dxa"/>
                    <w:left w:w="80" w:type="dxa"/>
                    <w:bottom w:w="60" w:type="dxa"/>
                    <w:right w:w="80" w:type="dxa"/>
                  </w:tcMar>
                </w:tcPr>
                <w:p w:rsidR="00874BC7" w:rsidRDefault="00000000" w14:paraId="2B2A7742" w14:textId="77777777">
                  <w:pPr>
                    <w:jc w:val="center"/>
                  </w:pPr>
                  <w:r>
                    <w:t>9.00%</w:t>
                  </w:r>
                </w:p>
              </w:tc>
              <w:tc>
                <w:tcPr>
                  <w:tcW w:w="1500" w:type="dxa"/>
                  <w:tcMar>
                    <w:top w:w="60" w:type="dxa"/>
                    <w:left w:w="80" w:type="dxa"/>
                    <w:bottom w:w="60" w:type="dxa"/>
                    <w:right w:w="80" w:type="dxa"/>
                  </w:tcMar>
                </w:tcPr>
                <w:p w:rsidR="00874BC7" w:rsidRDefault="00000000" w14:paraId="172DE723" w14:textId="77777777">
                  <w:pPr>
                    <w:jc w:val="center"/>
                  </w:pPr>
                  <w:r>
                    <w:t>10.75%</w:t>
                  </w:r>
                </w:p>
              </w:tc>
              <w:tc>
                <w:tcPr>
                  <w:tcW w:w="1500" w:type="dxa"/>
                  <w:tcMar>
                    <w:top w:w="60" w:type="dxa"/>
                    <w:left w:w="80" w:type="dxa"/>
                    <w:bottom w:w="60" w:type="dxa"/>
                    <w:right w:w="80" w:type="dxa"/>
                  </w:tcMar>
                </w:tcPr>
                <w:p w:rsidR="00874BC7" w:rsidRDefault="00000000" w14:paraId="5708DA1E" w14:textId="77777777">
                  <w:pPr>
                    <w:jc w:val="center"/>
                  </w:pPr>
                  <w:r>
                    <w:t>0.837</w:t>
                  </w:r>
                </w:p>
              </w:tc>
              <w:tc>
                <w:tcPr>
                  <w:tcW w:w="1500" w:type="dxa"/>
                  <w:tcMar>
                    <w:top w:w="60" w:type="dxa"/>
                    <w:left w:w="80" w:type="dxa"/>
                    <w:bottom w:w="60" w:type="dxa"/>
                    <w:right w:w="80" w:type="dxa"/>
                  </w:tcMar>
                </w:tcPr>
                <w:p w:rsidR="00874BC7" w:rsidRDefault="00000000" w14:paraId="09A497C7" w14:textId="77777777">
                  <w:pPr>
                    <w:jc w:val="center"/>
                  </w:pPr>
                  <w:r>
                    <w:t>-22.20%</w:t>
                  </w:r>
                </w:p>
              </w:tc>
              <w:tc>
                <w:tcPr>
                  <w:tcW w:w="1500" w:type="dxa"/>
                  <w:tcMar>
                    <w:top w:w="60" w:type="dxa"/>
                    <w:left w:w="80" w:type="dxa"/>
                    <w:bottom w:w="60" w:type="dxa"/>
                    <w:right w:w="80" w:type="dxa"/>
                  </w:tcMar>
                </w:tcPr>
                <w:p w:rsidR="00874BC7" w:rsidRDefault="00000000" w14:paraId="0A5F6FD5" w14:textId="77777777">
                  <w:pPr>
                    <w:jc w:val="center"/>
                  </w:pPr>
                  <w:r>
                    <w:t>264.0%</w:t>
                  </w:r>
                </w:p>
              </w:tc>
            </w:tr>
            <w:tr w:rsidR="00874BC7" w14:paraId="0E1A45B0" w14:textId="77777777">
              <w:tblPrEx>
                <w:tblCellMar>
                  <w:top w:w="0" w:type="dxa"/>
                  <w:bottom w:w="0" w:type="dxa"/>
                </w:tblCellMar>
              </w:tblPrEx>
              <w:tc>
                <w:tcPr>
                  <w:tcW w:w="1500" w:type="dxa"/>
                  <w:tcMar>
                    <w:top w:w="60" w:type="dxa"/>
                    <w:left w:w="80" w:type="dxa"/>
                    <w:bottom w:w="60" w:type="dxa"/>
                    <w:right w:w="80" w:type="dxa"/>
                  </w:tcMar>
                </w:tcPr>
                <w:p w:rsidR="00874BC7" w:rsidRDefault="00000000" w14:paraId="066D1C94" w14:textId="77777777">
                  <w:r>
                    <w:rPr>
                      <w:b/>
                      <w:bCs/>
                    </w:rPr>
                    <w:lastRenderedPageBreak/>
                    <w:t>SPY (benchmark)</w:t>
                  </w:r>
                </w:p>
              </w:tc>
              <w:tc>
                <w:tcPr>
                  <w:tcW w:w="1500" w:type="dxa"/>
                  <w:tcMar>
                    <w:top w:w="60" w:type="dxa"/>
                    <w:left w:w="80" w:type="dxa"/>
                    <w:bottom w:w="60" w:type="dxa"/>
                    <w:right w:w="80" w:type="dxa"/>
                  </w:tcMar>
                </w:tcPr>
                <w:p w:rsidR="00874BC7" w:rsidRDefault="00000000" w14:paraId="22EE0035" w14:textId="77777777">
                  <w:pPr>
                    <w:jc w:val="center"/>
                  </w:pPr>
                  <w:r>
                    <w:rPr>
                      <w:b/>
                      <w:bCs/>
                    </w:rPr>
                    <w:t>12.57%</w:t>
                  </w:r>
                </w:p>
              </w:tc>
              <w:tc>
                <w:tcPr>
                  <w:tcW w:w="1500" w:type="dxa"/>
                  <w:tcMar>
                    <w:top w:w="60" w:type="dxa"/>
                    <w:left w:w="80" w:type="dxa"/>
                    <w:bottom w:w="60" w:type="dxa"/>
                    <w:right w:w="80" w:type="dxa"/>
                  </w:tcMar>
                </w:tcPr>
                <w:p w:rsidR="00874BC7" w:rsidRDefault="00000000" w14:paraId="1F8AABB3" w14:textId="77777777">
                  <w:pPr>
                    <w:jc w:val="center"/>
                  </w:pPr>
                  <w:r>
                    <w:rPr>
                      <w:b/>
                      <w:bCs/>
                    </w:rPr>
                    <w:t>17.25%</w:t>
                  </w:r>
                </w:p>
              </w:tc>
              <w:tc>
                <w:tcPr>
                  <w:tcW w:w="1500" w:type="dxa"/>
                  <w:tcMar>
                    <w:top w:w="60" w:type="dxa"/>
                    <w:left w:w="80" w:type="dxa"/>
                    <w:bottom w:w="60" w:type="dxa"/>
                    <w:right w:w="80" w:type="dxa"/>
                  </w:tcMar>
                </w:tcPr>
                <w:p w:rsidR="00874BC7" w:rsidRDefault="00000000" w14:paraId="25E9BF94" w14:textId="77777777">
                  <w:pPr>
                    <w:jc w:val="center"/>
                  </w:pPr>
                  <w:r>
                    <w:rPr>
                      <w:b/>
                      <w:bCs/>
                    </w:rPr>
                    <w:t>0.729</w:t>
                  </w:r>
                </w:p>
              </w:tc>
              <w:tc>
                <w:tcPr>
                  <w:tcW w:w="1500" w:type="dxa"/>
                  <w:tcMar>
                    <w:top w:w="60" w:type="dxa"/>
                    <w:left w:w="80" w:type="dxa"/>
                    <w:bottom w:w="60" w:type="dxa"/>
                    <w:right w:w="80" w:type="dxa"/>
                  </w:tcMar>
                </w:tcPr>
                <w:p w:rsidR="00874BC7" w:rsidRDefault="00000000" w14:paraId="13676A88" w14:textId="77777777">
                  <w:pPr>
                    <w:jc w:val="center"/>
                  </w:pPr>
                  <w:r>
                    <w:rPr>
                      <w:b/>
                      <w:bCs/>
                    </w:rPr>
                    <w:t>-34.10%</w:t>
                  </w:r>
                </w:p>
              </w:tc>
              <w:tc>
                <w:tcPr>
                  <w:tcW w:w="1500" w:type="dxa"/>
                  <w:tcMar>
                    <w:top w:w="60" w:type="dxa"/>
                    <w:left w:w="80" w:type="dxa"/>
                    <w:bottom w:w="60" w:type="dxa"/>
                    <w:right w:w="80" w:type="dxa"/>
                  </w:tcMar>
                </w:tcPr>
                <w:p w:rsidR="00874BC7" w:rsidRDefault="00000000" w14:paraId="016EAE1D" w14:textId="77777777">
                  <w:pPr>
                    <w:jc w:val="center"/>
                  </w:pPr>
                  <w:r>
                    <w:rPr>
                      <w:b/>
                      <w:bCs/>
                    </w:rPr>
                    <w:t>490.2%</w:t>
                  </w:r>
                </w:p>
              </w:tc>
            </w:tr>
          </w:tbl>
          <w:p w:rsidR="00874BC7" w:rsidRDefault="00874BC7" w14:paraId="20F0186E" w14:textId="77777777">
            <w:pPr>
              <w:spacing w:after="120"/>
            </w:pPr>
          </w:p>
          <w:p w:rsidR="00874BC7" w:rsidRDefault="00000000" w14:paraId="35E5E860" w14:textId="77777777">
            <w:pPr>
              <w:spacing w:after="120"/>
            </w:pPr>
            <w:r>
              <w:rPr>
                <w:b/>
                <w:bCs/>
              </w:rPr>
              <w:t>Every risk tier beats the SPY benchmark on Sharpe ratio</w:t>
            </w:r>
            <w:r>
              <w:t xml:space="preserve"> (0.84–0.91 vs 0.73). The tiers do not beat SPY on raw return — by design, minimum-variance allocations hold bonds and cash and trail the index in a bull market — but they deliver materially better return per unit of risk. The risk gradient is monotonic and coherent: annualized volatility rises smoothly from 3.5% (conservative) to 10.8% (aggressive), all well below SPY's 17.3%, and maximum drawdown ranges from -13% to -22% versus SPY's -34%. A conservative investor sees roughly one-third of SPY's worst drawdown at a higher Sharpe than the index.</w:t>
            </w:r>
          </w:p>
          <w:p w:rsidR="00874BC7" w:rsidRDefault="00000000" w14:paraId="501073BE" w14:textId="77777777">
            <w:pPr>
              <w:spacing w:after="120"/>
            </w:pPr>
            <w:r>
              <w:rPr>
                <w:b/>
                <w:bCs/>
              </w:rPr>
              <w:t xml:space="preserve">Transaction-cost impact is negligible: </w:t>
            </w:r>
            <w:r>
              <w:t xml:space="preserve">cumulative cost drag over 15 years is 1.1%–2.6% (≈7–17 bps/year), confirming that the shrinkage-stabilized signal produces stable, low-turnover portfolios rather than hyperactive month-to-month trading. Cost </w:t>
            </w:r>
            <w:proofErr w:type="gramStart"/>
            <w:r>
              <w:t>drag</w:t>
            </w:r>
            <w:proofErr w:type="gramEnd"/>
            <w:r>
              <w:t xml:space="preserve"> rises with tier, as higher-volatility assets drift further between rebalances.</w:t>
            </w:r>
          </w:p>
        </w:tc>
      </w:tr>
      <w:tr w:rsidR="00874BC7" w:rsidTr="08C063E1" w14:paraId="00EB33B6" w14:textId="77777777">
        <w:tblPrEx>
          <w:tblCellMar>
            <w:top w:w="0" w:type="dxa"/>
            <w:bottom w:w="0" w:type="dxa"/>
          </w:tblCellMar>
        </w:tblPrEx>
        <w:tc>
          <w:tcPr>
            <w:tcW w:w="2200" w:type="dxa"/>
            <w:shd w:val="clear" w:color="auto" w:fill="D9E2F3"/>
            <w:tcMar>
              <w:top w:w="100" w:type="dxa"/>
              <w:left w:w="100" w:type="dxa"/>
              <w:bottom w:w="100" w:type="dxa"/>
              <w:right w:w="100" w:type="dxa"/>
            </w:tcMar>
          </w:tcPr>
          <w:p w:rsidR="00874BC7" w:rsidRDefault="00000000" w14:paraId="6B059B41" w14:textId="77777777">
            <w:pPr>
              <w:spacing w:after="120"/>
            </w:pPr>
            <w:r>
              <w:rPr>
                <w:b/>
                <w:bCs/>
              </w:rPr>
              <w:lastRenderedPageBreak/>
              <w:t>Per-Asset Performance</w:t>
            </w:r>
          </w:p>
        </w:tc>
        <w:tc>
          <w:tcPr>
            <w:tcW w:w="7600" w:type="dxa"/>
            <w:tcMar>
              <w:top w:w="100" w:type="dxa"/>
              <w:left w:w="100" w:type="dxa"/>
              <w:bottom w:w="100" w:type="dxa"/>
              <w:right w:w="100" w:type="dxa"/>
            </w:tcMar>
          </w:tcPr>
          <w:p w:rsidR="00874BC7" w:rsidRDefault="00000000" w14:paraId="51220A31" w14:textId="77777777">
            <w:pPr>
              <w:spacing w:after="120"/>
            </w:pPr>
            <w:r>
              <w:t>The pooled 19.1% RMSE improvement masks strong asset-class-dependent variation — the analog of subgroup analysis for this model. Breaking the test error down per asset reveals where the ML forecaster adds value and where it does not:</w:t>
            </w:r>
          </w:p>
          <w:tbl>
            <w:tblPr>
              <w:tblW w:w="7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34"/>
              <w:gridCol w:w="1233"/>
              <w:gridCol w:w="969"/>
              <w:gridCol w:w="1036"/>
              <w:gridCol w:w="1063"/>
              <w:gridCol w:w="1327"/>
              <w:gridCol w:w="938"/>
            </w:tblGrid>
            <w:tr w:rsidR="00874BC7" w14:paraId="1E3AC0F2" w14:textId="77777777">
              <w:tblPrEx>
                <w:tblCellMar>
                  <w:top w:w="0" w:type="dxa"/>
                  <w:bottom w:w="0" w:type="dxa"/>
                </w:tblCellMar>
              </w:tblPrEx>
              <w:trPr>
                <w:tblHeader/>
              </w:trPr>
              <w:tc>
                <w:tcPr>
                  <w:tcW w:w="900" w:type="dxa"/>
                  <w:shd w:val="clear" w:color="auto" w:fill="EDEDED"/>
                  <w:tcMar>
                    <w:top w:w="60" w:type="dxa"/>
                    <w:left w:w="80" w:type="dxa"/>
                    <w:bottom w:w="60" w:type="dxa"/>
                    <w:right w:w="80" w:type="dxa"/>
                  </w:tcMar>
                </w:tcPr>
                <w:p w:rsidR="00874BC7" w:rsidRDefault="00000000" w14:paraId="21EDE420" w14:textId="77777777">
                  <w:r>
                    <w:rPr>
                      <w:b/>
                      <w:bCs/>
                    </w:rPr>
                    <w:t>Asset</w:t>
                  </w:r>
                </w:p>
              </w:tc>
              <w:tc>
                <w:tcPr>
                  <w:tcW w:w="1300" w:type="dxa"/>
                  <w:shd w:val="clear" w:color="auto" w:fill="EDEDED"/>
                  <w:tcMar>
                    <w:top w:w="60" w:type="dxa"/>
                    <w:left w:w="80" w:type="dxa"/>
                    <w:bottom w:w="60" w:type="dxa"/>
                    <w:right w:w="80" w:type="dxa"/>
                  </w:tcMar>
                </w:tcPr>
                <w:p w:rsidR="00874BC7" w:rsidRDefault="00000000" w14:paraId="3E556FCC" w14:textId="77777777">
                  <w:r>
                    <w:rPr>
                      <w:b/>
                      <w:bCs/>
                    </w:rPr>
                    <w:t>Class</w:t>
                  </w:r>
                </w:p>
              </w:tc>
              <w:tc>
                <w:tcPr>
                  <w:tcW w:w="1150" w:type="dxa"/>
                  <w:shd w:val="clear" w:color="auto" w:fill="EDEDED"/>
                  <w:tcMar>
                    <w:top w:w="60" w:type="dxa"/>
                    <w:left w:w="80" w:type="dxa"/>
                    <w:bottom w:w="60" w:type="dxa"/>
                    <w:right w:w="80" w:type="dxa"/>
                  </w:tcMar>
                </w:tcPr>
                <w:p w:rsidR="00874BC7" w:rsidRDefault="00000000" w14:paraId="6EAECC95" w14:textId="77777777">
                  <w:pPr>
                    <w:jc w:val="center"/>
                  </w:pPr>
                  <w:r>
                    <w:rPr>
                      <w:b/>
                      <w:bCs/>
                    </w:rPr>
                    <w:t>Mean Fwd Vol</w:t>
                  </w:r>
                </w:p>
              </w:tc>
              <w:tc>
                <w:tcPr>
                  <w:tcW w:w="1150" w:type="dxa"/>
                  <w:shd w:val="clear" w:color="auto" w:fill="EDEDED"/>
                  <w:tcMar>
                    <w:top w:w="60" w:type="dxa"/>
                    <w:left w:w="80" w:type="dxa"/>
                    <w:bottom w:w="60" w:type="dxa"/>
                    <w:right w:w="80" w:type="dxa"/>
                  </w:tcMar>
                </w:tcPr>
                <w:p w:rsidR="00874BC7" w:rsidRDefault="00000000" w14:paraId="42EB6A69" w14:textId="77777777">
                  <w:pPr>
                    <w:jc w:val="center"/>
                  </w:pPr>
                  <w:r>
                    <w:rPr>
                      <w:b/>
                      <w:bCs/>
                    </w:rPr>
                    <w:t>Baseline RMSE</w:t>
                  </w:r>
                </w:p>
              </w:tc>
              <w:tc>
                <w:tcPr>
                  <w:tcW w:w="1150" w:type="dxa"/>
                  <w:shd w:val="clear" w:color="auto" w:fill="EDEDED"/>
                  <w:tcMar>
                    <w:top w:w="60" w:type="dxa"/>
                    <w:left w:w="80" w:type="dxa"/>
                    <w:bottom w:w="60" w:type="dxa"/>
                    <w:right w:w="80" w:type="dxa"/>
                  </w:tcMar>
                </w:tcPr>
                <w:p w:rsidR="00874BC7" w:rsidRDefault="00000000" w14:paraId="5C5E28C4" w14:textId="77777777">
                  <w:pPr>
                    <w:jc w:val="center"/>
                  </w:pPr>
                  <w:r>
                    <w:rPr>
                      <w:b/>
                      <w:bCs/>
                    </w:rPr>
                    <w:t>XGBoost RMSE</w:t>
                  </w:r>
                </w:p>
              </w:tc>
              <w:tc>
                <w:tcPr>
                  <w:tcW w:w="1100" w:type="dxa"/>
                  <w:shd w:val="clear" w:color="auto" w:fill="EDEDED"/>
                  <w:tcMar>
                    <w:top w:w="60" w:type="dxa"/>
                    <w:left w:w="80" w:type="dxa"/>
                    <w:bottom w:w="60" w:type="dxa"/>
                    <w:right w:w="80" w:type="dxa"/>
                  </w:tcMar>
                </w:tcPr>
                <w:p w:rsidR="00874BC7" w:rsidRDefault="00000000" w14:paraId="234ED340" w14:textId="77777777">
                  <w:pPr>
                    <w:jc w:val="center"/>
                  </w:pPr>
                  <w:r>
                    <w:rPr>
                      <w:b/>
                      <w:bCs/>
                    </w:rPr>
                    <w:t>Improvement</w:t>
                  </w:r>
                </w:p>
              </w:tc>
              <w:tc>
                <w:tcPr>
                  <w:tcW w:w="1000" w:type="dxa"/>
                  <w:shd w:val="clear" w:color="auto" w:fill="EDEDED"/>
                  <w:tcMar>
                    <w:top w:w="60" w:type="dxa"/>
                    <w:left w:w="80" w:type="dxa"/>
                    <w:bottom w:w="60" w:type="dxa"/>
                    <w:right w:w="80" w:type="dxa"/>
                  </w:tcMar>
                </w:tcPr>
                <w:p w:rsidR="00874BC7" w:rsidRDefault="00000000" w14:paraId="220B153E" w14:textId="77777777">
                  <w:pPr>
                    <w:jc w:val="center"/>
                  </w:pPr>
                  <w:r>
                    <w:rPr>
                      <w:b/>
                      <w:bCs/>
                    </w:rPr>
                    <w:t>Vol Source</w:t>
                  </w:r>
                </w:p>
              </w:tc>
            </w:tr>
            <w:tr w:rsidR="00874BC7" w14:paraId="38B9CFBB" w14:textId="77777777">
              <w:tblPrEx>
                <w:tblCellMar>
                  <w:top w:w="0" w:type="dxa"/>
                  <w:bottom w:w="0" w:type="dxa"/>
                </w:tblCellMar>
              </w:tblPrEx>
              <w:tc>
                <w:tcPr>
                  <w:tcW w:w="900" w:type="dxa"/>
                  <w:tcMar>
                    <w:top w:w="60" w:type="dxa"/>
                    <w:left w:w="80" w:type="dxa"/>
                    <w:bottom w:w="60" w:type="dxa"/>
                    <w:right w:w="80" w:type="dxa"/>
                  </w:tcMar>
                </w:tcPr>
                <w:p w:rsidR="00874BC7" w:rsidRDefault="00000000" w14:paraId="4F08BA16" w14:textId="77777777">
                  <w:r>
                    <w:t>GLD</w:t>
                  </w:r>
                </w:p>
              </w:tc>
              <w:tc>
                <w:tcPr>
                  <w:tcW w:w="1300" w:type="dxa"/>
                  <w:tcMar>
                    <w:top w:w="60" w:type="dxa"/>
                    <w:left w:w="80" w:type="dxa"/>
                    <w:bottom w:w="60" w:type="dxa"/>
                    <w:right w:w="80" w:type="dxa"/>
                  </w:tcMar>
                </w:tcPr>
                <w:p w:rsidR="00874BC7" w:rsidRDefault="00000000" w14:paraId="1CD7C459" w14:textId="77777777">
                  <w:r>
                    <w:t>Alternatives</w:t>
                  </w:r>
                </w:p>
              </w:tc>
              <w:tc>
                <w:tcPr>
                  <w:tcW w:w="1150" w:type="dxa"/>
                  <w:tcMar>
                    <w:top w:w="60" w:type="dxa"/>
                    <w:left w:w="80" w:type="dxa"/>
                    <w:bottom w:w="60" w:type="dxa"/>
                    <w:right w:w="80" w:type="dxa"/>
                  </w:tcMar>
                </w:tcPr>
                <w:p w:rsidR="00874BC7" w:rsidRDefault="00000000" w14:paraId="1C944275" w14:textId="77777777">
                  <w:pPr>
                    <w:jc w:val="center"/>
                  </w:pPr>
                  <w:r>
                    <w:t>0.1749</w:t>
                  </w:r>
                </w:p>
              </w:tc>
              <w:tc>
                <w:tcPr>
                  <w:tcW w:w="1150" w:type="dxa"/>
                  <w:tcMar>
                    <w:top w:w="60" w:type="dxa"/>
                    <w:left w:w="80" w:type="dxa"/>
                    <w:bottom w:w="60" w:type="dxa"/>
                    <w:right w:w="80" w:type="dxa"/>
                  </w:tcMar>
                </w:tcPr>
                <w:p w:rsidR="00874BC7" w:rsidRDefault="00000000" w14:paraId="7EC637D9" w14:textId="77777777">
                  <w:pPr>
                    <w:jc w:val="center"/>
                  </w:pPr>
                  <w:r>
                    <w:t>0.0827</w:t>
                  </w:r>
                </w:p>
              </w:tc>
              <w:tc>
                <w:tcPr>
                  <w:tcW w:w="1150" w:type="dxa"/>
                  <w:tcMar>
                    <w:top w:w="60" w:type="dxa"/>
                    <w:left w:w="80" w:type="dxa"/>
                    <w:bottom w:w="60" w:type="dxa"/>
                    <w:right w:w="80" w:type="dxa"/>
                  </w:tcMar>
                </w:tcPr>
                <w:p w:rsidR="00874BC7" w:rsidRDefault="00000000" w14:paraId="15598CA0" w14:textId="77777777">
                  <w:pPr>
                    <w:jc w:val="center"/>
                  </w:pPr>
                  <w:r>
                    <w:t>0.0599</w:t>
                  </w:r>
                </w:p>
              </w:tc>
              <w:tc>
                <w:tcPr>
                  <w:tcW w:w="1100" w:type="dxa"/>
                  <w:tcMar>
                    <w:top w:w="60" w:type="dxa"/>
                    <w:left w:w="80" w:type="dxa"/>
                    <w:bottom w:w="60" w:type="dxa"/>
                    <w:right w:w="80" w:type="dxa"/>
                  </w:tcMar>
                </w:tcPr>
                <w:p w:rsidR="00874BC7" w:rsidRDefault="00000000" w14:paraId="2774954B" w14:textId="77777777">
                  <w:pPr>
                    <w:jc w:val="center"/>
                  </w:pPr>
                  <w:r>
                    <w:t>+27.6%</w:t>
                  </w:r>
                </w:p>
              </w:tc>
              <w:tc>
                <w:tcPr>
                  <w:tcW w:w="1000" w:type="dxa"/>
                  <w:tcMar>
                    <w:top w:w="60" w:type="dxa"/>
                    <w:left w:w="80" w:type="dxa"/>
                    <w:bottom w:w="60" w:type="dxa"/>
                    <w:right w:w="80" w:type="dxa"/>
                  </w:tcMar>
                </w:tcPr>
                <w:p w:rsidR="00874BC7" w:rsidRDefault="00000000" w14:paraId="3E901671" w14:textId="77777777">
                  <w:pPr>
                    <w:jc w:val="center"/>
                  </w:pPr>
                  <w:r>
                    <w:t>ML</w:t>
                  </w:r>
                </w:p>
              </w:tc>
            </w:tr>
            <w:tr w:rsidR="00874BC7" w14:paraId="56C725F5" w14:textId="77777777">
              <w:tblPrEx>
                <w:tblCellMar>
                  <w:top w:w="0" w:type="dxa"/>
                  <w:bottom w:w="0" w:type="dxa"/>
                </w:tblCellMar>
              </w:tblPrEx>
              <w:tc>
                <w:tcPr>
                  <w:tcW w:w="900" w:type="dxa"/>
                  <w:tcMar>
                    <w:top w:w="60" w:type="dxa"/>
                    <w:left w:w="80" w:type="dxa"/>
                    <w:bottom w:w="60" w:type="dxa"/>
                    <w:right w:w="80" w:type="dxa"/>
                  </w:tcMar>
                </w:tcPr>
                <w:p w:rsidR="00874BC7" w:rsidRDefault="00000000" w14:paraId="4B631B3D" w14:textId="77777777">
                  <w:r>
                    <w:t>VXUS</w:t>
                  </w:r>
                </w:p>
              </w:tc>
              <w:tc>
                <w:tcPr>
                  <w:tcW w:w="1300" w:type="dxa"/>
                  <w:tcMar>
                    <w:top w:w="60" w:type="dxa"/>
                    <w:left w:w="80" w:type="dxa"/>
                    <w:bottom w:w="60" w:type="dxa"/>
                    <w:right w:w="80" w:type="dxa"/>
                  </w:tcMar>
                </w:tcPr>
                <w:p w:rsidR="00874BC7" w:rsidRDefault="00000000" w14:paraId="3418D8FD" w14:textId="77777777">
                  <w:r>
                    <w:t>Intl Equity</w:t>
                  </w:r>
                </w:p>
              </w:tc>
              <w:tc>
                <w:tcPr>
                  <w:tcW w:w="1150" w:type="dxa"/>
                  <w:tcMar>
                    <w:top w:w="60" w:type="dxa"/>
                    <w:left w:w="80" w:type="dxa"/>
                    <w:bottom w:w="60" w:type="dxa"/>
                    <w:right w:w="80" w:type="dxa"/>
                  </w:tcMar>
                </w:tcPr>
                <w:p w:rsidR="00874BC7" w:rsidRDefault="00000000" w14:paraId="384935FB" w14:textId="77777777">
                  <w:pPr>
                    <w:jc w:val="center"/>
                  </w:pPr>
                  <w:r>
                    <w:t>0.1573</w:t>
                  </w:r>
                </w:p>
              </w:tc>
              <w:tc>
                <w:tcPr>
                  <w:tcW w:w="1150" w:type="dxa"/>
                  <w:tcMar>
                    <w:top w:w="60" w:type="dxa"/>
                    <w:left w:w="80" w:type="dxa"/>
                    <w:bottom w:w="60" w:type="dxa"/>
                    <w:right w:w="80" w:type="dxa"/>
                  </w:tcMar>
                </w:tcPr>
                <w:p w:rsidR="00874BC7" w:rsidRDefault="00000000" w14:paraId="6BA8B061" w14:textId="77777777">
                  <w:pPr>
                    <w:jc w:val="center"/>
                  </w:pPr>
                  <w:r>
                    <w:t>0.0647</w:t>
                  </w:r>
                </w:p>
              </w:tc>
              <w:tc>
                <w:tcPr>
                  <w:tcW w:w="1150" w:type="dxa"/>
                  <w:tcMar>
                    <w:top w:w="60" w:type="dxa"/>
                    <w:left w:w="80" w:type="dxa"/>
                    <w:bottom w:w="60" w:type="dxa"/>
                    <w:right w:w="80" w:type="dxa"/>
                  </w:tcMar>
                </w:tcPr>
                <w:p w:rsidR="00874BC7" w:rsidRDefault="00000000" w14:paraId="41835D0B" w14:textId="77777777">
                  <w:pPr>
                    <w:jc w:val="center"/>
                  </w:pPr>
                  <w:r>
                    <w:t>0.0539</w:t>
                  </w:r>
                </w:p>
              </w:tc>
              <w:tc>
                <w:tcPr>
                  <w:tcW w:w="1100" w:type="dxa"/>
                  <w:tcMar>
                    <w:top w:w="60" w:type="dxa"/>
                    <w:left w:w="80" w:type="dxa"/>
                    <w:bottom w:w="60" w:type="dxa"/>
                    <w:right w:w="80" w:type="dxa"/>
                  </w:tcMar>
                </w:tcPr>
                <w:p w:rsidR="00874BC7" w:rsidRDefault="00000000" w14:paraId="679546BC" w14:textId="77777777">
                  <w:pPr>
                    <w:jc w:val="center"/>
                  </w:pPr>
                  <w:r>
                    <w:t>+16.6%</w:t>
                  </w:r>
                </w:p>
              </w:tc>
              <w:tc>
                <w:tcPr>
                  <w:tcW w:w="1000" w:type="dxa"/>
                  <w:tcMar>
                    <w:top w:w="60" w:type="dxa"/>
                    <w:left w:w="80" w:type="dxa"/>
                    <w:bottom w:w="60" w:type="dxa"/>
                    <w:right w:w="80" w:type="dxa"/>
                  </w:tcMar>
                </w:tcPr>
                <w:p w:rsidR="00874BC7" w:rsidRDefault="00000000" w14:paraId="64C78F09" w14:textId="77777777">
                  <w:pPr>
                    <w:jc w:val="center"/>
                  </w:pPr>
                  <w:r>
                    <w:t>ML</w:t>
                  </w:r>
                </w:p>
              </w:tc>
            </w:tr>
            <w:tr w:rsidR="00874BC7" w14:paraId="7C73906F" w14:textId="77777777">
              <w:tblPrEx>
                <w:tblCellMar>
                  <w:top w:w="0" w:type="dxa"/>
                  <w:bottom w:w="0" w:type="dxa"/>
                </w:tblCellMar>
              </w:tblPrEx>
              <w:tc>
                <w:tcPr>
                  <w:tcW w:w="900" w:type="dxa"/>
                  <w:tcMar>
                    <w:top w:w="60" w:type="dxa"/>
                    <w:left w:w="80" w:type="dxa"/>
                    <w:bottom w:w="60" w:type="dxa"/>
                    <w:right w:w="80" w:type="dxa"/>
                  </w:tcMar>
                </w:tcPr>
                <w:p w:rsidR="00874BC7" w:rsidRDefault="00000000" w14:paraId="3108121B" w14:textId="77777777">
                  <w:r>
                    <w:t>SPY</w:t>
                  </w:r>
                </w:p>
              </w:tc>
              <w:tc>
                <w:tcPr>
                  <w:tcW w:w="1300" w:type="dxa"/>
                  <w:tcMar>
                    <w:top w:w="60" w:type="dxa"/>
                    <w:left w:w="80" w:type="dxa"/>
                    <w:bottom w:w="60" w:type="dxa"/>
                    <w:right w:w="80" w:type="dxa"/>
                  </w:tcMar>
                </w:tcPr>
                <w:p w:rsidR="00874BC7" w:rsidRDefault="00000000" w14:paraId="1DAB5114" w14:textId="77777777">
                  <w:r>
                    <w:t>US Equity</w:t>
                  </w:r>
                </w:p>
              </w:tc>
              <w:tc>
                <w:tcPr>
                  <w:tcW w:w="1150" w:type="dxa"/>
                  <w:tcMar>
                    <w:top w:w="60" w:type="dxa"/>
                    <w:left w:w="80" w:type="dxa"/>
                    <w:bottom w:w="60" w:type="dxa"/>
                    <w:right w:w="80" w:type="dxa"/>
                  </w:tcMar>
                </w:tcPr>
                <w:p w:rsidR="00874BC7" w:rsidRDefault="00000000" w14:paraId="505239BE" w14:textId="77777777">
                  <w:pPr>
                    <w:jc w:val="center"/>
                  </w:pPr>
                  <w:r>
                    <w:t>0.1595</w:t>
                  </w:r>
                </w:p>
              </w:tc>
              <w:tc>
                <w:tcPr>
                  <w:tcW w:w="1150" w:type="dxa"/>
                  <w:tcMar>
                    <w:top w:w="60" w:type="dxa"/>
                    <w:left w:w="80" w:type="dxa"/>
                    <w:bottom w:w="60" w:type="dxa"/>
                    <w:right w:w="80" w:type="dxa"/>
                  </w:tcMar>
                </w:tcPr>
                <w:p w:rsidR="00874BC7" w:rsidRDefault="00000000" w14:paraId="7D7E00D1" w14:textId="77777777">
                  <w:pPr>
                    <w:jc w:val="center"/>
                  </w:pPr>
                  <w:r>
                    <w:t>0.0793</w:t>
                  </w:r>
                </w:p>
              </w:tc>
              <w:tc>
                <w:tcPr>
                  <w:tcW w:w="1150" w:type="dxa"/>
                  <w:tcMar>
                    <w:top w:w="60" w:type="dxa"/>
                    <w:left w:w="80" w:type="dxa"/>
                    <w:bottom w:w="60" w:type="dxa"/>
                    <w:right w:w="80" w:type="dxa"/>
                  </w:tcMar>
                </w:tcPr>
                <w:p w:rsidR="00874BC7" w:rsidRDefault="00000000" w14:paraId="65F2471D" w14:textId="77777777">
                  <w:pPr>
                    <w:jc w:val="center"/>
                  </w:pPr>
                  <w:r>
                    <w:t>0.0670</w:t>
                  </w:r>
                </w:p>
              </w:tc>
              <w:tc>
                <w:tcPr>
                  <w:tcW w:w="1100" w:type="dxa"/>
                  <w:tcMar>
                    <w:top w:w="60" w:type="dxa"/>
                    <w:left w:w="80" w:type="dxa"/>
                    <w:bottom w:w="60" w:type="dxa"/>
                    <w:right w:w="80" w:type="dxa"/>
                  </w:tcMar>
                </w:tcPr>
                <w:p w:rsidR="00874BC7" w:rsidRDefault="00000000" w14:paraId="1A9F00AC" w14:textId="77777777">
                  <w:pPr>
                    <w:jc w:val="center"/>
                  </w:pPr>
                  <w:r>
                    <w:t>+15.5%</w:t>
                  </w:r>
                </w:p>
              </w:tc>
              <w:tc>
                <w:tcPr>
                  <w:tcW w:w="1000" w:type="dxa"/>
                  <w:tcMar>
                    <w:top w:w="60" w:type="dxa"/>
                    <w:left w:w="80" w:type="dxa"/>
                    <w:bottom w:w="60" w:type="dxa"/>
                    <w:right w:w="80" w:type="dxa"/>
                  </w:tcMar>
                </w:tcPr>
                <w:p w:rsidR="00874BC7" w:rsidRDefault="00000000" w14:paraId="60E997DB" w14:textId="77777777">
                  <w:pPr>
                    <w:jc w:val="center"/>
                  </w:pPr>
                  <w:r>
                    <w:t>ML</w:t>
                  </w:r>
                </w:p>
              </w:tc>
            </w:tr>
            <w:tr w:rsidR="00874BC7" w14:paraId="4894E663" w14:textId="77777777">
              <w:tblPrEx>
                <w:tblCellMar>
                  <w:top w:w="0" w:type="dxa"/>
                  <w:bottom w:w="0" w:type="dxa"/>
                </w:tblCellMar>
              </w:tblPrEx>
              <w:tc>
                <w:tcPr>
                  <w:tcW w:w="900" w:type="dxa"/>
                  <w:tcMar>
                    <w:top w:w="60" w:type="dxa"/>
                    <w:left w:w="80" w:type="dxa"/>
                    <w:bottom w:w="60" w:type="dxa"/>
                    <w:right w:w="80" w:type="dxa"/>
                  </w:tcMar>
                </w:tcPr>
                <w:p w:rsidR="00874BC7" w:rsidRDefault="00000000" w14:paraId="7878F765" w14:textId="77777777">
                  <w:r>
                    <w:t>AGG</w:t>
                  </w:r>
                </w:p>
              </w:tc>
              <w:tc>
                <w:tcPr>
                  <w:tcW w:w="1300" w:type="dxa"/>
                  <w:tcMar>
                    <w:top w:w="60" w:type="dxa"/>
                    <w:left w:w="80" w:type="dxa"/>
                    <w:bottom w:w="60" w:type="dxa"/>
                    <w:right w:w="80" w:type="dxa"/>
                  </w:tcMar>
                </w:tcPr>
                <w:p w:rsidR="00874BC7" w:rsidRDefault="00000000" w14:paraId="53B7CE4F" w14:textId="77777777">
                  <w:r>
                    <w:t>Fixed Income</w:t>
                  </w:r>
                </w:p>
              </w:tc>
              <w:tc>
                <w:tcPr>
                  <w:tcW w:w="1150" w:type="dxa"/>
                  <w:tcMar>
                    <w:top w:w="60" w:type="dxa"/>
                    <w:left w:w="80" w:type="dxa"/>
                    <w:bottom w:w="60" w:type="dxa"/>
                    <w:right w:w="80" w:type="dxa"/>
                  </w:tcMar>
                </w:tcPr>
                <w:p w:rsidR="00874BC7" w:rsidRDefault="00000000" w14:paraId="4D7286D6" w14:textId="77777777">
                  <w:pPr>
                    <w:jc w:val="center"/>
                  </w:pPr>
                  <w:r>
                    <w:t>0.0603</w:t>
                  </w:r>
                </w:p>
              </w:tc>
              <w:tc>
                <w:tcPr>
                  <w:tcW w:w="1150" w:type="dxa"/>
                  <w:tcMar>
                    <w:top w:w="60" w:type="dxa"/>
                    <w:left w:w="80" w:type="dxa"/>
                    <w:bottom w:w="60" w:type="dxa"/>
                    <w:right w:w="80" w:type="dxa"/>
                  </w:tcMar>
                </w:tcPr>
                <w:p w:rsidR="00874BC7" w:rsidRDefault="00000000" w14:paraId="3DABAD4A" w14:textId="77777777">
                  <w:pPr>
                    <w:jc w:val="center"/>
                  </w:pPr>
                  <w:r>
                    <w:t>0.0136</w:t>
                  </w:r>
                </w:p>
              </w:tc>
              <w:tc>
                <w:tcPr>
                  <w:tcW w:w="1150" w:type="dxa"/>
                  <w:tcMar>
                    <w:top w:w="60" w:type="dxa"/>
                    <w:left w:w="80" w:type="dxa"/>
                    <w:bottom w:w="60" w:type="dxa"/>
                    <w:right w:w="80" w:type="dxa"/>
                  </w:tcMar>
                </w:tcPr>
                <w:p w:rsidR="00874BC7" w:rsidRDefault="00000000" w14:paraId="7E23B8C9" w14:textId="77777777">
                  <w:pPr>
                    <w:jc w:val="center"/>
                  </w:pPr>
                  <w:r>
                    <w:t>0.0219</w:t>
                  </w:r>
                </w:p>
              </w:tc>
              <w:tc>
                <w:tcPr>
                  <w:tcW w:w="1100" w:type="dxa"/>
                  <w:tcMar>
                    <w:top w:w="60" w:type="dxa"/>
                    <w:left w:w="80" w:type="dxa"/>
                    <w:bottom w:w="60" w:type="dxa"/>
                    <w:right w:w="80" w:type="dxa"/>
                  </w:tcMar>
                </w:tcPr>
                <w:p w:rsidR="00874BC7" w:rsidRDefault="00000000" w14:paraId="3B74ED1B" w14:textId="77777777">
                  <w:pPr>
                    <w:jc w:val="center"/>
                  </w:pPr>
                  <w:r>
                    <w:t>-61.1%</w:t>
                  </w:r>
                </w:p>
              </w:tc>
              <w:tc>
                <w:tcPr>
                  <w:tcW w:w="1000" w:type="dxa"/>
                  <w:tcMar>
                    <w:top w:w="60" w:type="dxa"/>
                    <w:left w:w="80" w:type="dxa"/>
                    <w:bottom w:w="60" w:type="dxa"/>
                    <w:right w:w="80" w:type="dxa"/>
                  </w:tcMar>
                </w:tcPr>
                <w:p w:rsidR="00874BC7" w:rsidRDefault="00000000" w14:paraId="0FB908D7" w14:textId="77777777">
                  <w:pPr>
                    <w:jc w:val="center"/>
                  </w:pPr>
                  <w:r>
                    <w:t>Baseline</w:t>
                  </w:r>
                </w:p>
              </w:tc>
            </w:tr>
            <w:tr w:rsidR="00874BC7" w14:paraId="11552627" w14:textId="77777777">
              <w:tblPrEx>
                <w:tblCellMar>
                  <w:top w:w="0" w:type="dxa"/>
                  <w:bottom w:w="0" w:type="dxa"/>
                </w:tblCellMar>
              </w:tblPrEx>
              <w:tc>
                <w:tcPr>
                  <w:tcW w:w="900" w:type="dxa"/>
                  <w:tcMar>
                    <w:top w:w="60" w:type="dxa"/>
                    <w:left w:w="80" w:type="dxa"/>
                    <w:bottom w:w="60" w:type="dxa"/>
                    <w:right w:w="80" w:type="dxa"/>
                  </w:tcMar>
                </w:tcPr>
                <w:p w:rsidR="00874BC7" w:rsidRDefault="00000000" w14:paraId="13574C58" w14:textId="77777777">
                  <w:r>
                    <w:t>BIL</w:t>
                  </w:r>
                </w:p>
              </w:tc>
              <w:tc>
                <w:tcPr>
                  <w:tcW w:w="1300" w:type="dxa"/>
                  <w:tcMar>
                    <w:top w:w="60" w:type="dxa"/>
                    <w:left w:w="80" w:type="dxa"/>
                    <w:bottom w:w="60" w:type="dxa"/>
                    <w:right w:w="80" w:type="dxa"/>
                  </w:tcMar>
                </w:tcPr>
                <w:p w:rsidR="00874BC7" w:rsidRDefault="00000000" w14:paraId="1718806C" w14:textId="77777777">
                  <w:r>
                    <w:t>Cash</w:t>
                  </w:r>
                </w:p>
              </w:tc>
              <w:tc>
                <w:tcPr>
                  <w:tcW w:w="1150" w:type="dxa"/>
                  <w:tcMar>
                    <w:top w:w="60" w:type="dxa"/>
                    <w:left w:w="80" w:type="dxa"/>
                    <w:bottom w:w="60" w:type="dxa"/>
                    <w:right w:w="80" w:type="dxa"/>
                  </w:tcMar>
                </w:tcPr>
                <w:p w:rsidR="00874BC7" w:rsidRDefault="00000000" w14:paraId="22036868" w14:textId="77777777">
                  <w:pPr>
                    <w:jc w:val="center"/>
                  </w:pPr>
                  <w:r>
                    <w:t>0.0024</w:t>
                  </w:r>
                </w:p>
              </w:tc>
              <w:tc>
                <w:tcPr>
                  <w:tcW w:w="1150" w:type="dxa"/>
                  <w:tcMar>
                    <w:top w:w="60" w:type="dxa"/>
                    <w:left w:w="80" w:type="dxa"/>
                    <w:bottom w:w="60" w:type="dxa"/>
                    <w:right w:w="80" w:type="dxa"/>
                  </w:tcMar>
                </w:tcPr>
                <w:p w:rsidR="00874BC7" w:rsidRDefault="00000000" w14:paraId="77C927F5" w14:textId="77777777">
                  <w:pPr>
                    <w:jc w:val="center"/>
                  </w:pPr>
                  <w:r>
                    <w:t>0.0005</w:t>
                  </w:r>
                </w:p>
              </w:tc>
              <w:tc>
                <w:tcPr>
                  <w:tcW w:w="1150" w:type="dxa"/>
                  <w:tcMar>
                    <w:top w:w="60" w:type="dxa"/>
                    <w:left w:w="80" w:type="dxa"/>
                    <w:bottom w:w="60" w:type="dxa"/>
                    <w:right w:w="80" w:type="dxa"/>
                  </w:tcMar>
                </w:tcPr>
                <w:p w:rsidR="00874BC7" w:rsidRDefault="00000000" w14:paraId="7B0EDB76" w14:textId="77777777">
                  <w:pPr>
                    <w:jc w:val="center"/>
                  </w:pPr>
                  <w:r>
                    <w:t>0.0013</w:t>
                  </w:r>
                </w:p>
              </w:tc>
              <w:tc>
                <w:tcPr>
                  <w:tcW w:w="1100" w:type="dxa"/>
                  <w:tcMar>
                    <w:top w:w="60" w:type="dxa"/>
                    <w:left w:w="80" w:type="dxa"/>
                    <w:bottom w:w="60" w:type="dxa"/>
                    <w:right w:w="80" w:type="dxa"/>
                  </w:tcMar>
                </w:tcPr>
                <w:p w:rsidR="00874BC7" w:rsidRDefault="00000000" w14:paraId="040628A5" w14:textId="77777777">
                  <w:pPr>
                    <w:jc w:val="center"/>
                  </w:pPr>
                  <w:r>
                    <w:t>-169.9%</w:t>
                  </w:r>
                </w:p>
              </w:tc>
              <w:tc>
                <w:tcPr>
                  <w:tcW w:w="1000" w:type="dxa"/>
                  <w:tcMar>
                    <w:top w:w="60" w:type="dxa"/>
                    <w:left w:w="80" w:type="dxa"/>
                    <w:bottom w:w="60" w:type="dxa"/>
                    <w:right w:w="80" w:type="dxa"/>
                  </w:tcMar>
                </w:tcPr>
                <w:p w:rsidR="00874BC7" w:rsidRDefault="00000000" w14:paraId="7B51EF45" w14:textId="77777777">
                  <w:pPr>
                    <w:jc w:val="center"/>
                  </w:pPr>
                  <w:r>
                    <w:t>Baseline</w:t>
                  </w:r>
                </w:p>
              </w:tc>
            </w:tr>
            <w:tr w:rsidR="00874BC7" w14:paraId="77899D55" w14:textId="77777777">
              <w:tblPrEx>
                <w:tblCellMar>
                  <w:top w:w="0" w:type="dxa"/>
                  <w:bottom w:w="0" w:type="dxa"/>
                </w:tblCellMar>
              </w:tblPrEx>
              <w:tc>
                <w:tcPr>
                  <w:tcW w:w="900" w:type="dxa"/>
                  <w:tcMar>
                    <w:top w:w="60" w:type="dxa"/>
                    <w:left w:w="80" w:type="dxa"/>
                    <w:bottom w:w="60" w:type="dxa"/>
                    <w:right w:w="80" w:type="dxa"/>
                  </w:tcMar>
                </w:tcPr>
                <w:p w:rsidR="00874BC7" w:rsidRDefault="00000000" w14:paraId="0AA551DB" w14:textId="77777777">
                  <w:r>
                    <w:rPr>
                      <w:b/>
                      <w:bCs/>
                    </w:rPr>
                    <w:t>Pooled</w:t>
                  </w:r>
                </w:p>
              </w:tc>
              <w:tc>
                <w:tcPr>
                  <w:tcW w:w="1300" w:type="dxa"/>
                  <w:tcMar>
                    <w:top w:w="60" w:type="dxa"/>
                    <w:left w:w="80" w:type="dxa"/>
                    <w:bottom w:w="60" w:type="dxa"/>
                    <w:right w:w="80" w:type="dxa"/>
                  </w:tcMar>
                </w:tcPr>
                <w:p w:rsidR="00874BC7" w:rsidRDefault="00000000" w14:paraId="0341EE11" w14:textId="77777777">
                  <w:r>
                    <w:rPr>
                      <w:b/>
                      <w:bCs/>
                    </w:rPr>
                    <w:t>-</w:t>
                  </w:r>
                </w:p>
              </w:tc>
              <w:tc>
                <w:tcPr>
                  <w:tcW w:w="1150" w:type="dxa"/>
                  <w:tcMar>
                    <w:top w:w="60" w:type="dxa"/>
                    <w:left w:w="80" w:type="dxa"/>
                    <w:bottom w:w="60" w:type="dxa"/>
                    <w:right w:w="80" w:type="dxa"/>
                  </w:tcMar>
                </w:tcPr>
                <w:p w:rsidR="00874BC7" w:rsidRDefault="00000000" w14:paraId="1356BBCC" w14:textId="77777777">
                  <w:pPr>
                    <w:jc w:val="center"/>
                  </w:pPr>
                  <w:r>
                    <w:rPr>
                      <w:b/>
                      <w:bCs/>
                    </w:rPr>
                    <w:t>0.1109</w:t>
                  </w:r>
                </w:p>
              </w:tc>
              <w:tc>
                <w:tcPr>
                  <w:tcW w:w="1150" w:type="dxa"/>
                  <w:tcMar>
                    <w:top w:w="60" w:type="dxa"/>
                    <w:left w:w="80" w:type="dxa"/>
                    <w:bottom w:w="60" w:type="dxa"/>
                    <w:right w:w="80" w:type="dxa"/>
                  </w:tcMar>
                </w:tcPr>
                <w:p w:rsidR="00874BC7" w:rsidRDefault="00000000" w14:paraId="016F4EBE" w14:textId="77777777">
                  <w:pPr>
                    <w:jc w:val="center"/>
                  </w:pPr>
                  <w:r>
                    <w:rPr>
                      <w:b/>
                      <w:bCs/>
                    </w:rPr>
                    <w:t>0.0592</w:t>
                  </w:r>
                </w:p>
              </w:tc>
              <w:tc>
                <w:tcPr>
                  <w:tcW w:w="1150" w:type="dxa"/>
                  <w:tcMar>
                    <w:top w:w="60" w:type="dxa"/>
                    <w:left w:w="80" w:type="dxa"/>
                    <w:bottom w:w="60" w:type="dxa"/>
                    <w:right w:w="80" w:type="dxa"/>
                  </w:tcMar>
                </w:tcPr>
                <w:p w:rsidR="00874BC7" w:rsidRDefault="00000000" w14:paraId="262C7A09" w14:textId="77777777">
                  <w:pPr>
                    <w:jc w:val="center"/>
                  </w:pPr>
                  <w:r>
                    <w:rPr>
                      <w:b/>
                      <w:bCs/>
                    </w:rPr>
                    <w:t>0.0479</w:t>
                  </w:r>
                </w:p>
              </w:tc>
              <w:tc>
                <w:tcPr>
                  <w:tcW w:w="1100" w:type="dxa"/>
                  <w:tcMar>
                    <w:top w:w="60" w:type="dxa"/>
                    <w:left w:w="80" w:type="dxa"/>
                    <w:bottom w:w="60" w:type="dxa"/>
                    <w:right w:w="80" w:type="dxa"/>
                  </w:tcMar>
                </w:tcPr>
                <w:p w:rsidR="00874BC7" w:rsidRDefault="00000000" w14:paraId="135268CA" w14:textId="77777777">
                  <w:pPr>
                    <w:jc w:val="center"/>
                  </w:pPr>
                  <w:r>
                    <w:rPr>
                      <w:b/>
                      <w:bCs/>
                    </w:rPr>
                    <w:t>+19.1%</w:t>
                  </w:r>
                </w:p>
              </w:tc>
              <w:tc>
                <w:tcPr>
                  <w:tcW w:w="1000" w:type="dxa"/>
                  <w:tcMar>
                    <w:top w:w="60" w:type="dxa"/>
                    <w:left w:w="80" w:type="dxa"/>
                    <w:bottom w:w="60" w:type="dxa"/>
                    <w:right w:w="80" w:type="dxa"/>
                  </w:tcMar>
                </w:tcPr>
                <w:p w:rsidR="00874BC7" w:rsidRDefault="00000000" w14:paraId="5B8AD13B" w14:textId="77777777">
                  <w:pPr>
                    <w:jc w:val="center"/>
                  </w:pPr>
                  <w:r>
                    <w:rPr>
                      <w:b/>
                      <w:bCs/>
                    </w:rPr>
                    <w:t>-</w:t>
                  </w:r>
                </w:p>
              </w:tc>
            </w:tr>
          </w:tbl>
          <w:p w:rsidR="00874BC7" w:rsidRDefault="00874BC7" w14:paraId="7565C6C1" w14:textId="77777777">
            <w:pPr>
              <w:spacing w:after="120"/>
            </w:pPr>
          </w:p>
          <w:p w:rsidR="00874BC7" w:rsidRDefault="00000000" w14:paraId="5C86C423" w14:textId="77777777">
            <w:pPr>
              <w:spacing w:after="120"/>
            </w:pPr>
            <w:r>
              <w:t xml:space="preserve">The model </w:t>
            </w:r>
            <w:r>
              <w:rPr>
                <w:b/>
                <w:bCs/>
              </w:rPr>
              <w:t>beats the baseline on the three high-volatility assets</w:t>
            </w:r>
            <w:r>
              <w:t xml:space="preserve"> (GLD +27.6%, VXUS +16.6%, SPY +15.5</w:t>
            </w:r>
            <w:proofErr w:type="gramStart"/>
            <w:r>
              <w:t>%) —</w:t>
            </w:r>
            <w:proofErr w:type="gramEnd"/>
            <w:r>
              <w:t xml:space="preserve"> precisely the assets where volatility is hard to forecast and accurate forecasts matter most. It </w:t>
            </w:r>
            <w:r>
              <w:rPr>
                <w:b/>
                <w:bCs/>
              </w:rPr>
              <w:t>underperforms the baseline on the two low-volatility assets</w:t>
            </w:r>
            <w:r>
              <w:t xml:space="preserve"> (AGG -61%, BIL -170%): for near-deterministic series like T-bills (mean forward vol 0.0024), trailing volatility is already an excellent forecast, and the model adds noise fitting structure that isn't there.</w:t>
            </w:r>
          </w:p>
          <w:p w:rsidR="00874BC7" w:rsidRDefault="00000000" w14:paraId="391F4D74" w14:textId="77777777">
            <w:pPr>
              <w:spacing w:after="120"/>
            </w:pPr>
            <w:r>
              <w:t xml:space="preserve">This finding is not a defect but the </w:t>
            </w:r>
            <w:r>
              <w:rPr>
                <w:b/>
                <w:bCs/>
              </w:rPr>
              <w:t>direct motivation for the hybrid volatility rule</w:t>
            </w:r>
            <w:r>
              <w:t xml:space="preserve"> in the methodology: the aggregate metric was interrogated rather than reported at face value, and the design uses each estimator only where the evidence supports it. Because minimum-variance optimization is highly sensitive to the low-volatility assets it prefers to </w:t>
            </w:r>
            <w:proofErr w:type="gramStart"/>
            <w:r>
              <w:t>overweight</w:t>
            </w:r>
            <w:proofErr w:type="gramEnd"/>
            <w:r>
              <w:t>, using the reliable baseline estimate for AGG and BIL directly protects the optimizer's quality.</w:t>
            </w:r>
          </w:p>
        </w:tc>
      </w:tr>
      <w:tr w:rsidR="00874BC7" w:rsidTr="08C063E1" w14:paraId="2D2B36C3" w14:textId="77777777">
        <w:tblPrEx>
          <w:tblCellMar>
            <w:top w:w="0" w:type="dxa"/>
            <w:bottom w:w="0" w:type="dxa"/>
          </w:tblCellMar>
        </w:tblPrEx>
        <w:tc>
          <w:tcPr>
            <w:tcW w:w="2200" w:type="dxa"/>
            <w:shd w:val="clear" w:color="auto" w:fill="D9E2F3"/>
            <w:tcMar>
              <w:top w:w="100" w:type="dxa"/>
              <w:left w:w="100" w:type="dxa"/>
              <w:bottom w:w="100" w:type="dxa"/>
              <w:right w:w="100" w:type="dxa"/>
            </w:tcMar>
          </w:tcPr>
          <w:p w:rsidR="00874BC7" w:rsidRDefault="00000000" w14:paraId="5A2B750D" w14:textId="77777777">
            <w:pPr>
              <w:spacing w:after="120"/>
            </w:pPr>
            <w:r>
              <w:rPr>
                <w:b/>
                <w:bCs/>
              </w:rPr>
              <w:t>Limitations &amp; Ethical Considerations</w:t>
            </w:r>
          </w:p>
        </w:tc>
        <w:tc>
          <w:tcPr>
            <w:tcW w:w="7600" w:type="dxa"/>
            <w:tcMar>
              <w:top w:w="100" w:type="dxa"/>
              <w:left w:w="100" w:type="dxa"/>
              <w:bottom w:w="100" w:type="dxa"/>
              <w:right w:w="100" w:type="dxa"/>
            </w:tcMar>
          </w:tcPr>
          <w:p w:rsidR="00874BC7" w:rsidRDefault="00000000" w14:paraId="50366CCF" w14:textId="77777777">
            <w:pPr>
              <w:spacing w:after="120"/>
            </w:pPr>
            <w:r>
              <w:rPr>
                <w:b/>
                <w:bCs/>
              </w:rPr>
              <w:t xml:space="preserve">Minimum-variance is low-return by design. </w:t>
            </w:r>
            <w:r>
              <w:t xml:space="preserve">The strategy minimizes portfolio variance, </w:t>
            </w:r>
            <w:proofErr w:type="gramStart"/>
            <w:r>
              <w:t>not</w:t>
            </w:r>
            <w:proofErr w:type="gramEnd"/>
            <w:r>
              <w:t xml:space="preserve"> </w:t>
            </w:r>
            <w:proofErr w:type="gramStart"/>
            <w:r>
              <w:t>maximizes</w:t>
            </w:r>
            <w:proofErr w:type="gramEnd"/>
            <w:r>
              <w:t xml:space="preserve"> return, and therefore trails a rising equity benchmark on raw return. Its value is risk-adjusted (Sharpe) and downside (drawdown) performance. </w:t>
            </w:r>
            <w:proofErr w:type="gramStart"/>
            <w:r>
              <w:t>Framing</w:t>
            </w:r>
            <w:proofErr w:type="gramEnd"/>
            <w:r>
              <w:t xml:space="preserve"> it as a market-beating strategy would misrepresent it.</w:t>
            </w:r>
          </w:p>
          <w:p w:rsidR="00874BC7" w:rsidRDefault="00000000" w14:paraId="52F91485" w14:textId="77777777">
            <w:pPr>
              <w:spacing w:after="120"/>
            </w:pPr>
            <w:r>
              <w:rPr>
                <w:b/>
                <w:bCs/>
              </w:rPr>
              <w:lastRenderedPageBreak/>
              <w:t xml:space="preserve">SPY serves a dual role. </w:t>
            </w:r>
            <w:r>
              <w:t xml:space="preserve">SPY is both an eligible portfolio asset (US equity) and the performance benchmark. This is a documented, defensible </w:t>
            </w:r>
            <w:proofErr w:type="gramStart"/>
            <w:r>
              <w:t>choice — a</w:t>
            </w:r>
            <w:proofErr w:type="gramEnd"/>
            <w:r>
              <w:t xml:space="preserve"> </w:t>
            </w:r>
            <w:proofErr w:type="gramStart"/>
            <w:r>
              <w:t>robo-advisor</w:t>
            </w:r>
            <w:proofErr w:type="gramEnd"/>
            <w:r>
              <w:t xml:space="preserve"> can hold an S&amp;P 500 fund and still report performance against the index — but it means the backtest partly measures the portfolio against one of its own holdings. The optimizer's contribution is the risk-reducing diversification around SPY that the tiers permit.</w:t>
            </w:r>
          </w:p>
          <w:p w:rsidR="00874BC7" w:rsidRDefault="00000000" w14:paraId="38950B8F" w14:textId="77777777">
            <w:pPr>
              <w:spacing w:after="120"/>
            </w:pPr>
            <w:r>
              <w:rPr>
                <w:b/>
                <w:bCs/>
              </w:rPr>
              <w:t xml:space="preserve">The risk tiers, not the optimizer, set the risk level. </w:t>
            </w:r>
            <w:r>
              <w:t xml:space="preserve">Because minimum-variance mathematically prefers the lowest-volatility assets (BIL, AGG), an unconstrained optimizer would collapse every tier to a near-identical bond-and-cash portfolio. The dim_risk_tier weight bounds are </w:t>
            </w:r>
            <w:proofErr w:type="gramStart"/>
            <w:r>
              <w:t>load-bearing</w:t>
            </w:r>
            <w:proofErr w:type="gramEnd"/>
            <w:r>
              <w:t>: they are what force the five tiers to differentiate. The ML and optimizer determine allocation shape within each tier's box; the tiers determine the risk level.</w:t>
            </w:r>
          </w:p>
          <w:p w:rsidR="00874BC7" w:rsidRDefault="00000000" w14:paraId="48E92D3D" w14:textId="77777777">
            <w:pPr>
              <w:spacing w:after="120"/>
            </w:pPr>
            <w:r>
              <w:rPr>
                <w:b/>
                <w:bCs/>
              </w:rPr>
              <w:t xml:space="preserve">Regime dependence. </w:t>
            </w:r>
            <w:r>
              <w:t>Correlations are estimated on a trailing 126-day window and reflect the prevailing regime. The final-date matrix shows a positive SPY–AGG correlation (~0.46), characteristic of the post-2020 rate environment rather than the negative stock-bond correlation of earlier decades. This responsiveness is intentional but means allocations reflect recent regimes, not long-run averages.</w:t>
            </w:r>
          </w:p>
          <w:p w:rsidR="00874BC7" w:rsidRDefault="00000000" w14:paraId="34795128" w14:textId="77777777">
            <w:pPr>
              <w:spacing w:after="120"/>
            </w:pPr>
            <w:r>
              <w:rPr>
                <w:b/>
                <w:bCs/>
              </w:rPr>
              <w:t xml:space="preserve">Demonstration scope. </w:t>
            </w:r>
            <w:r>
              <w:t>The questionnaire-to-tier mapping is a transparent scorecard, and user inputs for the demo are represented as a small set of predefined personas rather than a live interactive intake. The model is a course deliverable and is not validated for, or intended for, real investment use.</w:t>
            </w:r>
          </w:p>
        </w:tc>
      </w:tr>
    </w:tbl>
    <w:p w:rsidR="00803225" w:rsidRDefault="00803225" w14:paraId="6DE09866" w14:textId="77777777"/>
    <w:sectPr w:rsidR="00803225">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E128C"/>
    <w:multiLevelType w:val="hybridMultilevel"/>
    <w:tmpl w:val="9962B9B8"/>
    <w:lvl w:ilvl="0" w:tplc="7EE47A14">
      <w:start w:val="1"/>
      <w:numFmt w:val="bullet"/>
      <w:lvlText w:val="●"/>
      <w:lvlJc w:val="left"/>
      <w:pPr>
        <w:ind w:left="720" w:hanging="360"/>
      </w:pPr>
    </w:lvl>
    <w:lvl w:ilvl="1" w:tplc="D90AD804">
      <w:start w:val="1"/>
      <w:numFmt w:val="bullet"/>
      <w:lvlText w:val="○"/>
      <w:lvlJc w:val="left"/>
      <w:pPr>
        <w:ind w:left="1440" w:hanging="360"/>
      </w:pPr>
    </w:lvl>
    <w:lvl w:ilvl="2" w:tplc="8FFE9480">
      <w:start w:val="1"/>
      <w:numFmt w:val="bullet"/>
      <w:lvlText w:val="■"/>
      <w:lvlJc w:val="left"/>
      <w:pPr>
        <w:ind w:left="2160" w:hanging="360"/>
      </w:pPr>
    </w:lvl>
    <w:lvl w:ilvl="3" w:tplc="92D20258">
      <w:start w:val="1"/>
      <w:numFmt w:val="bullet"/>
      <w:lvlText w:val="●"/>
      <w:lvlJc w:val="left"/>
      <w:pPr>
        <w:ind w:left="2880" w:hanging="360"/>
      </w:pPr>
    </w:lvl>
    <w:lvl w:ilvl="4" w:tplc="5526FA8C">
      <w:start w:val="1"/>
      <w:numFmt w:val="bullet"/>
      <w:lvlText w:val="○"/>
      <w:lvlJc w:val="left"/>
      <w:pPr>
        <w:ind w:left="3600" w:hanging="360"/>
      </w:pPr>
    </w:lvl>
    <w:lvl w:ilvl="5" w:tplc="5FB4F37C">
      <w:start w:val="1"/>
      <w:numFmt w:val="bullet"/>
      <w:lvlText w:val="■"/>
      <w:lvlJc w:val="left"/>
      <w:pPr>
        <w:ind w:left="4320" w:hanging="360"/>
      </w:pPr>
    </w:lvl>
    <w:lvl w:ilvl="6" w:tplc="628C0470">
      <w:start w:val="1"/>
      <w:numFmt w:val="bullet"/>
      <w:lvlText w:val="●"/>
      <w:lvlJc w:val="left"/>
      <w:pPr>
        <w:ind w:left="5040" w:hanging="360"/>
      </w:pPr>
    </w:lvl>
    <w:lvl w:ilvl="7" w:tplc="844013A0">
      <w:start w:val="1"/>
      <w:numFmt w:val="bullet"/>
      <w:lvlText w:val="●"/>
      <w:lvlJc w:val="left"/>
      <w:pPr>
        <w:ind w:left="5760" w:hanging="360"/>
      </w:pPr>
    </w:lvl>
    <w:lvl w:ilvl="8" w:tplc="53A4218C">
      <w:start w:val="1"/>
      <w:numFmt w:val="bullet"/>
      <w:lvlText w:val="●"/>
      <w:lvlJc w:val="left"/>
      <w:pPr>
        <w:ind w:left="6480" w:hanging="360"/>
      </w:pPr>
    </w:lvl>
  </w:abstractNum>
  <w:abstractNum w:abstractNumId="1" w15:restartNumberingAfterBreak="0">
    <w:nsid w:val="2FCF6F12"/>
    <w:multiLevelType w:val="hybridMultilevel"/>
    <w:tmpl w:val="645A6D54"/>
    <w:lvl w:ilvl="0" w:tplc="A510FDEA">
      <w:start w:val="1"/>
      <w:numFmt w:val="decimal"/>
      <w:lvlText w:val="%1."/>
      <w:lvlJc w:val="left"/>
      <w:pPr>
        <w:ind w:left="720" w:hanging="360"/>
      </w:pPr>
    </w:lvl>
    <w:lvl w:ilvl="1" w:tplc="8766CB96">
      <w:start w:val="1"/>
      <w:numFmt w:val="lowerLetter"/>
      <w:lvlText w:val="%2."/>
      <w:lvlJc w:val="left"/>
      <w:pPr>
        <w:ind w:left="1440" w:hanging="360"/>
      </w:pPr>
    </w:lvl>
    <w:lvl w:ilvl="2" w:tplc="CD3E835A">
      <w:start w:val="1"/>
      <w:numFmt w:val="lowerRoman"/>
      <w:lvlText w:val="%3."/>
      <w:lvlJc w:val="right"/>
      <w:pPr>
        <w:ind w:left="2160" w:hanging="180"/>
      </w:pPr>
    </w:lvl>
    <w:lvl w:ilvl="3" w:tplc="A0C41BB8">
      <w:start w:val="1"/>
      <w:numFmt w:val="decimal"/>
      <w:lvlText w:val="%4."/>
      <w:lvlJc w:val="left"/>
      <w:pPr>
        <w:ind w:left="2880" w:hanging="360"/>
      </w:pPr>
    </w:lvl>
    <w:lvl w:ilvl="4" w:tplc="B6F2D8AC">
      <w:start w:val="1"/>
      <w:numFmt w:val="lowerLetter"/>
      <w:lvlText w:val="%5."/>
      <w:lvlJc w:val="left"/>
      <w:pPr>
        <w:ind w:left="3600" w:hanging="360"/>
      </w:pPr>
    </w:lvl>
    <w:lvl w:ilvl="5" w:tplc="C3E6E3E2">
      <w:start w:val="1"/>
      <w:numFmt w:val="lowerRoman"/>
      <w:lvlText w:val="%6."/>
      <w:lvlJc w:val="right"/>
      <w:pPr>
        <w:ind w:left="4320" w:hanging="180"/>
      </w:pPr>
    </w:lvl>
    <w:lvl w:ilvl="6" w:tplc="01707282">
      <w:start w:val="1"/>
      <w:numFmt w:val="decimal"/>
      <w:lvlText w:val="%7."/>
      <w:lvlJc w:val="left"/>
      <w:pPr>
        <w:ind w:left="5040" w:hanging="360"/>
      </w:pPr>
    </w:lvl>
    <w:lvl w:ilvl="7" w:tplc="6922A6B6">
      <w:start w:val="1"/>
      <w:numFmt w:val="lowerLetter"/>
      <w:lvlText w:val="%8."/>
      <w:lvlJc w:val="left"/>
      <w:pPr>
        <w:ind w:left="5760" w:hanging="360"/>
      </w:pPr>
    </w:lvl>
    <w:lvl w:ilvl="8" w:tplc="128009F4">
      <w:start w:val="1"/>
      <w:numFmt w:val="lowerRoman"/>
      <w:lvlText w:val="%9."/>
      <w:lvlJc w:val="right"/>
      <w:pPr>
        <w:ind w:left="6480" w:hanging="180"/>
      </w:pPr>
    </w:lvl>
  </w:abstractNum>
  <w:num w:numId="1" w16cid:durableId="777725065">
    <w:abstractNumId w:val="0"/>
    <w:lvlOverride w:ilvl="0">
      <w:startOverride w:val="1"/>
    </w:lvlOverride>
  </w:num>
  <w:num w:numId="2" w16cid:durableId="928123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BC7"/>
    <w:rsid w:val="00722913"/>
    <w:rsid w:val="007279D5"/>
    <w:rsid w:val="00803225"/>
    <w:rsid w:val="00874BC7"/>
    <w:rsid w:val="00D03119"/>
    <w:rsid w:val="08C063E1"/>
    <w:rsid w:val="3EE3F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CEFA"/>
  <w15:docId w15:val="{1B308A35-3A99-4A5E-822E-C36A364B3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Todd Christopher Thiel</lastModifiedBy>
  <revision>4</revision>
  <dcterms:created xsi:type="dcterms:W3CDTF">2026-08-09T16:01:00.0000000Z</dcterms:created>
  <dcterms:modified xsi:type="dcterms:W3CDTF">2026-08-11T21:53:32.0282355Z</dcterms:modified>
</coreProperties>
</file>