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color w:val="1F3864"/>
          <w:sz w:val="52"/>
          <w:szCs w:val="52"/>
        </w:rPr>
        <w:t xml:space="preserve">Options Trading Research Platform</w:t>
      </w:r>
    </w:p>
    <w:p>
      <w:pPr>
        <w:spacing w:after="600"/>
        <w:jc w:val="center"/>
      </w:pPr>
      <w:r>
        <w:rPr>
          <w:color w:val="2E5395"/>
          <w:sz w:val="36"/>
          <w:szCs w:val="36"/>
        </w:rPr>
        <w:t xml:space="preserve">Functional Requirements Document</w:t>
      </w:r>
    </w:p>
    <w:p>
      <w:pPr>
        <w:spacing w:after="1800"/>
        <w:jc w:val="center"/>
      </w:pPr>
      <w:r>
        <w:rPr>
          <w:i/>
          <w:iCs/>
          <w:color w:val="595959"/>
          <w:sz w:val="24"/>
          <w:szCs w:val="24"/>
        </w:rPr>
        <w:t xml:space="preserve">Signal research, validation, deployment and production feedback for Indian F&amp;O markets, executing via the xman platform</w:t>
      </w:r>
    </w:p>
    <w:p>
      <w:pPr>
        <w:jc w:val="center"/>
      </w:pPr>
      <w:r>
        <w:rPr>
          <w:color w:val="808080"/>
          <w:sz w:val="22"/>
          <w:szCs w:val="22"/>
        </w:rPr>
        <w:t xml:space="preserve">Version 0.2 (Post-review revision)  ·  August 2026</w:t>
      </w:r>
    </w:p>
    <w:p>
      <w:pPr>
        <w:spacing w:before="200"/>
        <w:jc w:val="center"/>
      </w:pPr>
      <w:r>
        <w:rPr>
          <w:i/>
          <w:iCs/>
          <w:color w:val="808080"/>
          <w:sz w:val="18"/>
          <w:szCs w:val="18"/>
        </w:rPr>
        <w:t xml:space="preserve">v0.2 incorporates the accepted findings of the 11 August 2026 review; see Appendix A for the full disposition.</w:t>
      </w:r>
    </w:p>
    <w:p>
      <w:r>
        <w:br w:type="page"/>
      </w:r>
    </w:p>
    <w:p>
      <w:pPr>
        <w:pStyle w:val="Heading1"/>
        <w:spacing w:after="20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60" w:before="280"/>
      </w:pPr>
      <w:r>
        <w:t xml:space="preserve">1.1 Purpose</w:t>
      </w:r>
    </w:p>
    <w:p>
      <w:pPr>
        <w:spacing w:after="160" w:line="300"/>
      </w:pPr>
      <w:r>
        <w:rPr>
          <w:sz w:val="22"/>
          <w:szCs w:val="22"/>
        </w:rPr>
        <w:t xml:space="preserve">This document specifies the functional requirements for a proprietary research platform whose purpose is to discover, validate, version, deploy and continuously improve trading signals for options strategies on Indian markets (NSE/BSE index and stock derivatives). Validated signals drive strategies executed on the xman trading platform. The document is intended as the basis for architecture design, build/buy decisions and phased delivery planning.</w:t>
      </w:r>
    </w:p>
    <w:p>
      <w:pPr>
        <w:pStyle w:val="Heading2"/>
        <w:spacing w:after="160" w:before="280"/>
      </w:pPr>
      <w:r>
        <w:t xml:space="preserve">1.2 Scope</w:t>
      </w:r>
    </w:p>
    <w:p>
      <w:pPr>
        <w:spacing w:after="160" w:line="300"/>
      </w:pPr>
      <w:r>
        <w:rPr>
          <w:sz w:val="22"/>
          <w:szCs w:val="22"/>
        </w:rPr>
        <w:t xml:space="preserve">In scope: market and derived data management; the interactive research environment; a feature and signal library; backtesting and statistical validation; capital, sizing and capacity research; forward (paper) testing; signal versioning and a controlled software development lifecycle (SDLC) from research to production; production performance measurement; the feedback loop that drives signal improvement; and AI/LLM assistance across the research workflow. Out of scope for this document: order management and broker-layer risk enforcement, and execution logic inside xman itself. Note that position sizing and capacity are in scope as research questions (Section 8), even though their runtime enforcement lives in xman. The webhook-based integration with xman is specified only at the interface level and is explicitly a low-priority, later-phase item.</w:t>
      </w:r>
    </w:p>
    <w:p>
      <w:pPr>
        <w:pStyle w:val="Heading3"/>
        <w:spacing w:after="120" w:before="220"/>
      </w:pPr>
      <w:r>
        <w:t xml:space="preserve">1.2.1 Explicit exclusions (Won't, this roadmap)</w:t>
      </w:r>
    </w:p>
    <w:p>
      <w:pPr>
        <w:spacing w:after="160" w:line="300"/>
      </w:pPr>
      <w:r>
        <w:rPr>
          <w:sz w:val="22"/>
          <w:szCs w:val="22"/>
        </w:rPr>
        <w:t xml:space="preserve">The following are deliberately excluded so that future scope creep has something to be measured against: full order-book / market-microstructure capture and signals; high-frequency (sub-second) signal generation; multi-user governance, entitlement and approval workflow (the platform assumes a single accountable operator; approval gates are self-attestations with tamper-evident records per NFR-08); and reinforcement-learning execution agents. Any of these entering scope requires a new revision of this document.</w:t>
      </w:r>
    </w:p>
    <w:p>
      <w:pPr>
        <w:pStyle w:val="Heading2"/>
        <w:spacing w:after="160" w:before="280"/>
      </w:pPr>
      <w:r>
        <w:t xml:space="preserve">1.3 Background and design philosophy</w:t>
      </w:r>
    </w:p>
    <w:p>
      <w:pPr>
        <w:spacing w:after="160" w:line="300"/>
      </w:pPr>
      <w:r>
        <w:rPr>
          <w:sz w:val="22"/>
          <w:szCs w:val="22"/>
        </w:rPr>
        <w:t xml:space="preserve">The requirements below are synthesised from three bodies of knowledge. First, the academic literature on backtest overfitting and financial machine learning, principally the work of Bailey and López de Prado on the Deflated Sharpe Ratio, the Probability of Backtest Overfitting, purged and combinatorial purged cross-validation, and the "research factory" organisation of quantitative work. Second, publicly documented practice at systematic funds and multi-manager platforms, where the consistent lessons are that point-in-time data discipline and walk-forward validation must be pipeline requirements rather than researcher options, that a hybrid of interpretable factor signals plus machine-learning refinements is the dominant production architecture, and that signal decay is the central long-term challenge the platform must be designed to detect and manage. Third, the modern MLOps canon: feature stores to eliminate training/serving skew, model registries with full lineage, staged promotion (research → paper → production), drift monitoring and champion/challenger evaluation.</w:t>
      </w:r>
    </w:p>
    <w:p>
      <w:pPr>
        <w:spacing w:after="160" w:line="300"/>
      </w:pPr>
      <w:r>
        <w:rPr>
          <w:sz w:val="22"/>
          <w:szCs w:val="22"/>
        </w:rPr>
        <w:t xml:space="preserve">Three principles govern everything in this document. (1) Anti-overfitting controls are enforced by the platform, not left to researcher discipline: every backtest records how many variations were tried, and headline metrics are always reported alongside selection-bias-adjusted equivalents. (2) Research/production parity: the same signal code, feature definitions and cost model run in backtest, paper and live modes, so a signal cannot behave differently in production than in research for architectural reasons. (3) Everything is versioned and reproducible: a signal result is a deterministic function of (data snapshot, code version, parameter set), and any historical result can be regenerated exactly.</w:t>
      </w:r>
    </w:p>
    <w:p>
      <w:pPr>
        <w:pStyle w:val="Heading2"/>
        <w:spacing w:after="160" w:before="280"/>
      </w:pPr>
      <w:r>
        <w:t xml:space="preserve">1.4 Requirement conventions and verification</w:t>
      </w:r>
    </w:p>
    <w:p>
      <w:pPr>
        <w:spacing w:after="160" w:line="300"/>
      </w:pPr>
      <w:r>
        <w:rPr>
          <w:sz w:val="22"/>
          <w:szCs w:val="22"/>
        </w:rPr>
        <w:t xml:space="preserve">Requirements are identified as FR-&lt;MODULE&gt;-&lt;NN&gt; and prioritised using MoSCoW. Following the review, MoSCoW labels are scoped to the Phase 1 timebox defined in Section 17 — "Must" means "Phase 1 is not credible without it", not "important in general" — which is the only condition under which MoSCoW forces genuine trade-offs. Section 17 additionally defines a Minimal Credible Core (MCC), the strictly smaller subset sufficient to run one honest experiment end to end, which is the first thing to build.</w:t>
      </w:r>
    </w:p>
    <w:p>
      <w:pPr>
        <w:spacing w:after="160" w:line="300"/>
      </w:pPr>
      <w:r>
        <w:rPr>
          <w:sz w:val="22"/>
          <w:szCs w:val="22"/>
        </w:rPr>
        <w:t xml:space="preserve">Verification: each module preamble names the default verification method for its requirements using the standard categories (inspection, analysis, demonstration, test). Full per-requirement fit criteria in the scale/meter/threshold form are deliberately deferred to the phase specification of whichever phase a requirement enters — writing ~100 fit criteria before the Minimal Credible Core exists would be ceremony — but four requirements the review identified as untestable as written (FR-RES-02, FR-RES-06, FR-DATA-08, FR-MON-04) have been rewritten with measurable criteria in this revision. Detectors that can be over-aggressive (leakage detection, outlier IV detection) must ship with negative controls: known-clean inputs on which they must not fire.</w:t>
      </w:r>
    </w:p>
    <w:p>
      <w:pPr>
        <w:pStyle w:val="Heading2"/>
        <w:spacing w:after="160" w:before="280"/>
      </w:pPr>
      <w:r>
        <w:t xml:space="preserve">1.5 Constraints and Assumptions</w:t>
      </w:r>
    </w:p>
    <w:p>
      <w:pPr>
        <w:spacing w:after="160" w:line="300"/>
      </w:pPr>
      <w:r>
        <w:rPr>
          <w:sz w:val="22"/>
          <w:szCs w:val="22"/>
        </w:rPr>
        <w:t xml:space="preserve">This section records the operating constraints under which the platform will be built, each with its design consequence. Items marked TBC must be confirmed by the platform owner before Phase 1 design freezes; the consequences are written so that either resolution has a defined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9E2F3" w:val="clear"/>
            <w:tcMar>
              <w:top w:type="dxa" w:w="60"/>
              <w:left w:type="dxa" w:w="100"/>
              <w:bottom w:type="dxa" w:w="60"/>
              <w:right w:type="dxa" w:w="100"/>
            </w:tcMar>
          </w:tcPr>
          <w:p>
            <w:pPr>
              <w:spacing w:after="0"/>
            </w:pPr>
            <w:r>
              <w:rPr>
                <w:b/>
                <w:bCs/>
                <w:sz w:val="18"/>
                <w:szCs w:val="18"/>
              </w:rPr>
              <w:t xml:space="preserve">Constraint / Assumption</w:t>
            </w:r>
          </w:p>
        </w:tc>
        <w:tc>
          <w:tcPr>
            <w:tcW w:type="dxa" w:w="5960"/>
            <w:shd w:fill="D9E2F3" w:val="clear"/>
            <w:tcMar>
              <w:top w:type="dxa" w:w="60"/>
              <w:left w:type="dxa" w:w="100"/>
              <w:bottom w:type="dxa" w:w="60"/>
              <w:right w:type="dxa" w:w="100"/>
            </w:tcMar>
          </w:tcPr>
          <w:p>
            <w:pPr>
              <w:spacing w:after="0"/>
            </w:pPr>
            <w:r>
              <w:rPr>
                <w:b/>
                <w:bCs/>
                <w:sz w:val="18"/>
                <w:szCs w:val="18"/>
              </w:rPr>
              <w:t xml:space="preserve">Consequence</w:t>
            </w:r>
          </w:p>
        </w:tc>
      </w:tr>
      <w:tr>
        <w:tc>
          <w:tcPr>
            <w:tcW w:type="dxa" w:w="3400"/>
            <w:tcMar>
              <w:top w:type="dxa" w:w="60"/>
              <w:left w:type="dxa" w:w="100"/>
              <w:bottom w:type="dxa" w:w="60"/>
              <w:right w:type="dxa" w:w="100"/>
            </w:tcMar>
          </w:tcPr>
          <w:p>
            <w:pPr>
              <w:spacing w:after="0"/>
            </w:pPr>
            <w:r>
              <w:rPr>
                <w:b/>
                <w:bCs/>
                <w:sz w:val="18"/>
                <w:szCs w:val="18"/>
              </w:rPr>
              <w:t xml:space="preserve">C1 — Single accountable operator, AI-assisted. One practitioner operates the platform, with substantial AI-assisted development capacity (parallel agentic coding sessions).</w:t>
            </w:r>
          </w:p>
        </w:tc>
        <w:tc>
          <w:tcPr>
            <w:tcW w:type="dxa" w:w="5960"/>
            <w:tcMar>
              <w:top w:type="dxa" w:w="60"/>
              <w:left w:type="dxa" w:w="100"/>
              <w:bottom w:type="dxa" w:w="60"/>
              <w:right w:type="dxa" w:w="100"/>
            </w:tcMar>
          </w:tcPr>
          <w:p>
            <w:pPr>
              <w:spacing w:after="0"/>
            </w:pPr>
            <w:r>
              <w:rPr>
                <w:b w:val="false"/>
                <w:bCs w:val="false"/>
                <w:sz w:val="18"/>
                <w:szCs w:val="18"/>
              </w:rPr>
              <w:t xml:space="preserve">No multi-user workflow (see 1.2.1). Approval gates are self-attestations made honest by tamper-evidence (NFR-08) and pre-registration (FR-VAL-09, FR-MON-09), not by a second approver. Effort estimates in Section 17 name this capacity assumption explicitly.</w:t>
            </w:r>
          </w:p>
        </w:tc>
      </w:tr>
      <w:tr>
        <w:tc>
          <w:tcPr>
            <w:tcW w:type="dxa" w:w="3400"/>
            <w:tcMar>
              <w:top w:type="dxa" w:w="60"/>
              <w:left w:type="dxa" w:w="100"/>
              <w:bottom w:type="dxa" w:w="60"/>
              <w:right w:type="dxa" w:w="100"/>
            </w:tcMar>
          </w:tcPr>
          <w:p>
            <w:pPr>
              <w:spacing w:after="0"/>
            </w:pPr>
            <w:r>
              <w:rPr>
                <w:b/>
                <w:bCs/>
                <w:sz w:val="18"/>
                <w:szCs w:val="18"/>
              </w:rPr>
              <w:t xml:space="preserve">C2 — Shared infrastructure. Research compute may share hardware with the live xman trading platform, at least initially.</w:t>
            </w:r>
          </w:p>
        </w:tc>
        <w:tc>
          <w:tcPr>
            <w:tcW w:type="dxa" w:w="5960"/>
            <w:tcMar>
              <w:top w:type="dxa" w:w="60"/>
              <w:left w:type="dxa" w:w="100"/>
              <w:bottom w:type="dxa" w:w="60"/>
              <w:right w:type="dxa" w:w="100"/>
            </w:tcMar>
          </w:tcPr>
          <w:p>
            <w:pPr>
              <w:spacing w:after="0"/>
            </w:pPr>
            <w:r>
              <w:rPr>
                <w:b w:val="false"/>
                <w:bCs w:val="false"/>
                <w:sz w:val="18"/>
                <w:szCs w:val="18"/>
              </w:rPr>
              <w:t xml:space="preserve">"Isolation" (FR-RES-05) is resource partitioning (cgroups/quotas/priority), not separate hardware. NFR-03 performance targets are stated under a declared contention assumption, and NFR-09 requires live trading to be protected from research load, not vice versa.</w:t>
            </w:r>
          </w:p>
        </w:tc>
      </w:tr>
      <w:tr>
        <w:tc>
          <w:tcPr>
            <w:tcW w:type="dxa" w:w="3400"/>
            <w:tcMar>
              <w:top w:type="dxa" w:w="60"/>
              <w:left w:type="dxa" w:w="100"/>
              <w:bottom w:type="dxa" w:w="60"/>
              <w:right w:type="dxa" w:w="100"/>
            </w:tcMar>
          </w:tcPr>
          <w:p>
            <w:pPr>
              <w:spacing w:after="0"/>
            </w:pPr>
            <w:r>
              <w:rPr>
                <w:b/>
                <w:bCs/>
                <w:sz w:val="18"/>
                <w:szCs w:val="18"/>
              </w:rPr>
              <w:t xml:space="preserve">C3 — Bid/ask quote data availability: TBC with the chosen vendor. The platform must know whether historical quotes (best bid/offer) are available for NSE options at the working resolution.</w:t>
            </w:r>
          </w:p>
        </w:tc>
        <w:tc>
          <w:tcPr>
            <w:tcW w:type="dxa" w:w="5960"/>
            <w:tcMar>
              <w:top w:type="dxa" w:w="60"/>
              <w:left w:type="dxa" w:w="100"/>
              <w:bottom w:type="dxa" w:w="60"/>
              <w:right w:type="dxa" w:w="100"/>
            </w:tcMar>
          </w:tcPr>
          <w:p>
            <w:pPr>
              <w:spacing w:after="0"/>
            </w:pPr>
            <w:r>
              <w:rPr>
                <w:b w:val="false"/>
                <w:bCs w:val="false"/>
                <w:sz w:val="18"/>
                <w:szCs w:val="18"/>
              </w:rPr>
              <w:t xml:space="preserve">This is the single most design-consequential open item. If quotes are available, FR-BT-03 models slippage against observed spreads. If not, the cost model is learned from realised fills, and FR-BT-03(b) states the known limitations of that approach so its output is not over-trusted.</w:t>
            </w:r>
          </w:p>
        </w:tc>
      </w:tr>
      <w:tr>
        <w:tc>
          <w:tcPr>
            <w:tcW w:type="dxa" w:w="3400"/>
            <w:tcMar>
              <w:top w:type="dxa" w:w="60"/>
              <w:left w:type="dxa" w:w="100"/>
              <w:bottom w:type="dxa" w:w="60"/>
              <w:right w:type="dxa" w:w="100"/>
            </w:tcMar>
          </w:tcPr>
          <w:p>
            <w:pPr>
              <w:spacing w:after="0"/>
            </w:pPr>
            <w:r>
              <w:rPr>
                <w:b/>
                <w:bCs/>
                <w:sz w:val="18"/>
                <w:szCs w:val="18"/>
              </w:rPr>
              <w:t xml:space="preserve">C4 — Data granularity and history. Working assumption: 1-minute bars, with vendor history depth to be recorded here once contracted; end-of-day bhavcopy as reconciliation baseline.</w:t>
            </w:r>
          </w:p>
        </w:tc>
        <w:tc>
          <w:tcPr>
            <w:tcW w:type="dxa" w:w="5960"/>
            <w:tcMar>
              <w:top w:type="dxa" w:w="60"/>
              <w:left w:type="dxa" w:w="100"/>
              <w:bottom w:type="dxa" w:w="60"/>
              <w:right w:type="dxa" w:w="100"/>
            </w:tcMar>
          </w:tcPr>
          <w:p>
            <w:pPr>
              <w:spacing w:after="0"/>
            </w:pPr>
            <w:r>
              <w:rPr>
                <w:b w:val="false"/>
                <w:bCs w:val="false"/>
                <w:sz w:val="18"/>
                <w:szCs w:val="18"/>
              </w:rPr>
              <w:t xml:space="preserve">Backtests deeper than the vendor history rely on prospectively captured data (FR-DATA-14), which cannot be reconstructed in arrears — capture must begin at platform day one.</w:t>
            </w:r>
          </w:p>
        </w:tc>
      </w:tr>
      <w:tr>
        <w:tc>
          <w:tcPr>
            <w:tcW w:type="dxa" w:w="3400"/>
            <w:tcMar>
              <w:top w:type="dxa" w:w="60"/>
              <w:left w:type="dxa" w:w="100"/>
              <w:bottom w:type="dxa" w:w="60"/>
              <w:right w:type="dxa" w:w="100"/>
            </w:tcMar>
          </w:tcPr>
          <w:p>
            <w:pPr>
              <w:spacing w:after="0"/>
            </w:pPr>
            <w:r>
              <w:rPr>
                <w:b/>
                <w:bCs/>
                <w:sz w:val="18"/>
                <w:szCs w:val="18"/>
              </w:rPr>
              <w:t xml:space="preserve">C5 — Tick data is anticipated but not committed. The operator expects a possible future move to tick-level analysis.</w:t>
            </w:r>
          </w:p>
        </w:tc>
        <w:tc>
          <w:tcPr>
            <w:tcW w:type="dxa" w:w="5960"/>
            <w:tcMar>
              <w:top w:type="dxa" w:w="60"/>
              <w:left w:type="dxa" w:w="100"/>
              <w:bottom w:type="dxa" w:w="60"/>
              <w:right w:type="dxa" w:w="100"/>
            </w:tcMar>
          </w:tcPr>
          <w:p>
            <w:pPr>
              <w:spacing w:after="0"/>
            </w:pPr>
            <w:r>
              <w:rPr>
                <w:b w:val="false"/>
                <w:bCs w:val="false"/>
                <w:sz w:val="18"/>
                <w:szCs w:val="18"/>
              </w:rPr>
              <w:t xml:space="preserve">Recorded here as an assumption rather than as a schema requirement on FR-DATA-01. Design reviews should weigh tick-compatibility as a consideration, not a constraint; committing to it becomes a revision of this document.</w:t>
            </w:r>
          </w:p>
        </w:tc>
      </w:tr>
      <w:tr>
        <w:tc>
          <w:tcPr>
            <w:tcW w:type="dxa" w:w="3400"/>
            <w:tcMar>
              <w:top w:type="dxa" w:w="60"/>
              <w:left w:type="dxa" w:w="100"/>
              <w:bottom w:type="dxa" w:w="60"/>
              <w:right w:type="dxa" w:w="100"/>
            </w:tcMar>
          </w:tcPr>
          <w:p>
            <w:pPr>
              <w:spacing w:after="0"/>
            </w:pPr>
            <w:r>
              <w:rPr>
                <w:b/>
                <w:bCs/>
                <w:sz w:val="18"/>
                <w:szCs w:val="18"/>
              </w:rPr>
              <w:t xml:space="preserve">C6 — Budget. Infrastructure and data budget bands to be recorded here by the owner.</w:t>
            </w:r>
          </w:p>
        </w:tc>
        <w:tc>
          <w:tcPr>
            <w:tcW w:type="dxa" w:w="5960"/>
            <w:tcMar>
              <w:top w:type="dxa" w:w="60"/>
              <w:left w:type="dxa" w:w="100"/>
              <w:bottom w:type="dxa" w:w="60"/>
              <w:right w:type="dxa" w:w="100"/>
            </w:tcMar>
          </w:tcPr>
          <w:p>
            <w:pPr>
              <w:spacing w:after="0"/>
            </w:pPr>
            <w:r>
              <w:rPr>
                <w:b w:val="false"/>
                <w:bCs w:val="false"/>
                <w:sz w:val="18"/>
                <w:szCs w:val="18"/>
              </w:rPr>
              <w:t xml:space="preserve">Build/buy decisions (surface fitting, feature store, experiment tracker) are taken against this constraint; open-source-first is the default posture.</w:t>
            </w:r>
          </w:p>
        </w:tc>
      </w:tr>
      <w:tr>
        <w:tc>
          <w:tcPr>
            <w:tcW w:type="dxa" w:w="3400"/>
            <w:tcMar>
              <w:top w:type="dxa" w:w="60"/>
              <w:left w:type="dxa" w:w="100"/>
              <w:bottom w:type="dxa" w:w="60"/>
              <w:right w:type="dxa" w:w="100"/>
            </w:tcMar>
          </w:tcPr>
          <w:p>
            <w:pPr>
              <w:spacing w:after="0"/>
            </w:pPr>
            <w:r>
              <w:rPr>
                <w:b/>
                <w:bCs/>
                <w:sz w:val="18"/>
                <w:szCs w:val="18"/>
              </w:rPr>
              <w:t xml:space="preserve">C7 — Regulatory context. The platform operates against SEBI's evolving derivatives framework (including the April 2026 retail algo framework) and the post-2024 market-structure regime.</w:t>
            </w:r>
          </w:p>
        </w:tc>
        <w:tc>
          <w:tcPr>
            <w:tcW w:type="dxa" w:w="5960"/>
            <w:tcMar>
              <w:top w:type="dxa" w:w="60"/>
              <w:left w:type="dxa" w:w="100"/>
              <w:bottom w:type="dxa" w:w="60"/>
              <w:right w:type="dxa" w:w="100"/>
            </w:tcMar>
          </w:tcPr>
          <w:p>
            <w:pPr>
              <w:spacing w:after="0"/>
            </w:pPr>
            <w:r>
              <w:rPr>
                <w:b w:val="false"/>
                <w:bCs w:val="false"/>
                <w:sz w:val="18"/>
                <w:szCs w:val="18"/>
              </w:rPr>
              <w:t xml:space="preserve">Regulatory changes are first-class data (FR-DATA-16) and analysis must not silently pool across regime boundaries (FR-BT-12).</w:t>
            </w:r>
          </w:p>
        </w:tc>
      </w:tr>
    </w:tbl>
    <w:p>
      <w:pPr>
        <w:pStyle w:val="Heading1"/>
        <w:spacing w:after="200" w:before="360"/>
      </w:pPr>
      <w:r>
        <w:t xml:space="preserve">2. System Overview</w:t>
      </w:r>
    </w:p>
    <w:p>
      <w:pPr>
        <w:spacing w:after="160" w:line="300"/>
      </w:pPr>
      <w:r>
        <w:rPr>
          <w:sz w:val="22"/>
          <w:szCs w:val="22"/>
        </w:rPr>
        <w:t xml:space="preserve">The platform is organised as a pipeline of nine cooperating modules around a shared data backbone. Data flows left to right in the happy path — from raw market data through research, validation and deployment into production monitoring — and right to left in the feedback path, where production performance drives signal refinement and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val="clear"/>
            <w:tcMar>
              <w:top w:type="dxa" w:w="60"/>
              <w:left w:type="dxa" w:w="100"/>
              <w:bottom w:type="dxa" w:w="60"/>
              <w:right w:type="dxa" w:w="100"/>
            </w:tcMar>
          </w:tcPr>
          <w:p>
            <w:pPr>
              <w:spacing w:after="0"/>
            </w:pPr>
            <w:r>
              <w:rPr>
                <w:b/>
                <w:bCs/>
                <w:sz w:val="18"/>
                <w:szCs w:val="18"/>
              </w:rPr>
              <w:t xml:space="preserve">Module</w:t>
            </w:r>
          </w:p>
        </w:tc>
        <w:tc>
          <w:tcPr>
            <w:tcW w:type="dxa" w:w="6760"/>
            <w:shd w:fill="D9E2F3" w:val="clear"/>
            <w:tcMar>
              <w:top w:type="dxa" w:w="60"/>
              <w:left w:type="dxa" w:w="100"/>
              <w:bottom w:type="dxa" w:w="60"/>
              <w:right w:type="dxa" w:w="100"/>
            </w:tcMar>
          </w:tcPr>
          <w:p>
            <w:pPr>
              <w:spacing w:after="0"/>
            </w:pPr>
            <w:r>
              <w:rPr>
                <w:b/>
                <w:bCs/>
                <w:sz w:val="18"/>
                <w:szCs w:val="18"/>
              </w:rPr>
              <w:t xml:space="preserve">Role</w:t>
            </w:r>
          </w:p>
        </w:tc>
      </w:tr>
      <w:tr>
        <w:tc>
          <w:tcPr>
            <w:tcW w:type="dxa" w:w="2600"/>
            <w:tcMar>
              <w:top w:type="dxa" w:w="60"/>
              <w:left w:type="dxa" w:w="100"/>
              <w:bottom w:type="dxa" w:w="60"/>
              <w:right w:type="dxa" w:w="100"/>
            </w:tcMar>
          </w:tcPr>
          <w:p>
            <w:pPr>
              <w:spacing w:after="0"/>
            </w:pPr>
            <w:r>
              <w:rPr>
                <w:b/>
                <w:bCs/>
                <w:sz w:val="18"/>
                <w:szCs w:val="18"/>
              </w:rPr>
              <w:t xml:space="preserve">Data Layer</w:t>
            </w:r>
          </w:p>
        </w:tc>
        <w:tc>
          <w:tcPr>
            <w:tcW w:type="dxa" w:w="6760"/>
            <w:tcMar>
              <w:top w:type="dxa" w:w="60"/>
              <w:left w:type="dxa" w:w="100"/>
              <w:bottom w:type="dxa" w:w="60"/>
              <w:right w:type="dxa" w:w="100"/>
            </w:tcMar>
          </w:tcPr>
          <w:p>
            <w:pPr>
              <w:spacing w:after="0"/>
            </w:pPr>
            <w:r>
              <w:rPr>
                <w:b w:val="false"/>
                <w:bCs w:val="false"/>
                <w:sz w:val="18"/>
                <w:szCs w:val="18"/>
              </w:rPr>
              <w:t xml:space="preserve">Point-in-time store of NSE/BSE options, futures and cash market data; derived analytics (IV, Greeks, surfaces); data quality control; regulatory-epoch registry.</w:t>
            </w:r>
          </w:p>
        </w:tc>
      </w:tr>
      <w:tr>
        <w:tc>
          <w:tcPr>
            <w:tcW w:type="dxa" w:w="2600"/>
            <w:tcMar>
              <w:top w:type="dxa" w:w="60"/>
              <w:left w:type="dxa" w:w="100"/>
              <w:bottom w:type="dxa" w:w="60"/>
              <w:right w:type="dxa" w:w="100"/>
            </w:tcMar>
          </w:tcPr>
          <w:p>
            <w:pPr>
              <w:spacing w:after="0"/>
            </w:pPr>
            <w:r>
              <w:rPr>
                <w:b/>
                <w:bCs/>
                <w:sz w:val="18"/>
                <w:szCs w:val="18"/>
              </w:rPr>
              <w:t xml:space="preserve">Research Environment</w:t>
            </w:r>
          </w:p>
        </w:tc>
        <w:tc>
          <w:tcPr>
            <w:tcW w:type="dxa" w:w="6760"/>
            <w:tcMar>
              <w:top w:type="dxa" w:w="60"/>
              <w:left w:type="dxa" w:w="100"/>
              <w:bottom w:type="dxa" w:w="60"/>
              <w:right w:type="dxa" w:w="100"/>
            </w:tcMar>
          </w:tcPr>
          <w:p>
            <w:pPr>
              <w:spacing w:after="0"/>
            </w:pPr>
            <w:r>
              <w:rPr>
                <w:b w:val="false"/>
                <w:bCs w:val="false"/>
                <w:sz w:val="18"/>
                <w:szCs w:val="18"/>
              </w:rPr>
              <w:t xml:space="preserve">Interactive workspace where hypotheses are formed and explored using the statistical toolbox and the feature library, with the exploration/trial boundary instrumented.</w:t>
            </w:r>
          </w:p>
        </w:tc>
      </w:tr>
      <w:tr>
        <w:tc>
          <w:tcPr>
            <w:tcW w:type="dxa" w:w="2600"/>
            <w:tcMar>
              <w:top w:type="dxa" w:w="60"/>
              <w:left w:type="dxa" w:w="100"/>
              <w:bottom w:type="dxa" w:w="60"/>
              <w:right w:type="dxa" w:w="100"/>
            </w:tcMar>
          </w:tcPr>
          <w:p>
            <w:pPr>
              <w:spacing w:after="0"/>
            </w:pPr>
            <w:r>
              <w:rPr>
                <w:b/>
                <w:bCs/>
                <w:sz w:val="18"/>
                <w:szCs w:val="18"/>
              </w:rPr>
              <w:t xml:space="preserve">Signal &amp; Feature Library</w:t>
            </w:r>
          </w:p>
        </w:tc>
        <w:tc>
          <w:tcPr>
            <w:tcW w:type="dxa" w:w="6760"/>
            <w:tcMar>
              <w:top w:type="dxa" w:w="60"/>
              <w:left w:type="dxa" w:w="100"/>
              <w:bottom w:type="dxa" w:w="60"/>
              <w:right w:type="dxa" w:w="100"/>
            </w:tcMar>
          </w:tcPr>
          <w:p>
            <w:pPr>
              <w:spacing w:after="0"/>
            </w:pPr>
            <w:r>
              <w:rPr>
                <w:b w:val="false"/>
                <w:bCs w:val="false"/>
                <w:sz w:val="18"/>
                <w:szCs w:val="18"/>
              </w:rPr>
              <w:t xml:space="preserve">Versioned registry of features and signals as code, with metadata, provenance, lineage and reuse.</w:t>
            </w:r>
          </w:p>
        </w:tc>
      </w:tr>
      <w:tr>
        <w:tc>
          <w:tcPr>
            <w:tcW w:type="dxa" w:w="2600"/>
            <w:tcMar>
              <w:top w:type="dxa" w:w="60"/>
              <w:left w:type="dxa" w:w="100"/>
              <w:bottom w:type="dxa" w:w="60"/>
              <w:right w:type="dxa" w:w="100"/>
            </w:tcMar>
          </w:tcPr>
          <w:p>
            <w:pPr>
              <w:spacing w:after="0"/>
            </w:pPr>
            <w:r>
              <w:rPr>
                <w:b/>
                <w:bCs/>
                <w:sz w:val="18"/>
                <w:szCs w:val="18"/>
              </w:rPr>
              <w:t xml:space="preserve">Backtesting Engine</w:t>
            </w:r>
          </w:p>
        </w:tc>
        <w:tc>
          <w:tcPr>
            <w:tcW w:type="dxa" w:w="6760"/>
            <w:tcMar>
              <w:top w:type="dxa" w:w="60"/>
              <w:left w:type="dxa" w:w="100"/>
              <w:bottom w:type="dxa" w:w="60"/>
              <w:right w:type="dxa" w:w="100"/>
            </w:tcMar>
          </w:tcPr>
          <w:p>
            <w:pPr>
              <w:spacing w:after="0"/>
            </w:pPr>
            <w:r>
              <w:rPr>
                <w:b w:val="false"/>
                <w:bCs w:val="false"/>
                <w:sz w:val="18"/>
                <w:szCs w:val="18"/>
              </w:rPr>
              <w:t xml:space="preserve">Event-driven simulation of options strategies with a realistic Indian cost, margin and settlement model, epoch-annotated reporting and tail-aware metrics.</w:t>
            </w:r>
          </w:p>
        </w:tc>
      </w:tr>
      <w:tr>
        <w:tc>
          <w:tcPr>
            <w:tcW w:type="dxa" w:w="2600"/>
            <w:tcMar>
              <w:top w:type="dxa" w:w="60"/>
              <w:left w:type="dxa" w:w="100"/>
              <w:bottom w:type="dxa" w:w="60"/>
              <w:right w:type="dxa" w:w="100"/>
            </w:tcMar>
          </w:tcPr>
          <w:p>
            <w:pPr>
              <w:spacing w:after="0"/>
            </w:pPr>
            <w:r>
              <w:rPr>
                <w:b/>
                <w:bCs/>
                <w:sz w:val="18"/>
                <w:szCs w:val="18"/>
              </w:rPr>
              <w:t xml:space="preserve">Validation Service</w:t>
            </w:r>
          </w:p>
        </w:tc>
        <w:tc>
          <w:tcPr>
            <w:tcW w:type="dxa" w:w="6760"/>
            <w:tcMar>
              <w:top w:type="dxa" w:w="60"/>
              <w:left w:type="dxa" w:w="100"/>
              <w:bottom w:type="dxa" w:w="60"/>
              <w:right w:type="dxa" w:w="100"/>
            </w:tcMar>
          </w:tcPr>
          <w:p>
            <w:pPr>
              <w:spacing w:after="0"/>
            </w:pPr>
            <w:r>
              <w:rPr>
                <w:b w:val="false"/>
                <w:bCs w:val="false"/>
                <w:sz w:val="18"/>
                <w:szCs w:val="18"/>
              </w:rPr>
              <w:t xml:space="preserve">Statistical gatekeeper: walk-forward and combinatorial purged cross-validation, deflated performance metrics, overfitting probability, multiple-testing corrections — with thresholds locked before results are visible.</w:t>
            </w:r>
          </w:p>
        </w:tc>
      </w:tr>
      <w:tr>
        <w:tc>
          <w:tcPr>
            <w:tcW w:type="dxa" w:w="2600"/>
            <w:tcMar>
              <w:top w:type="dxa" w:w="60"/>
              <w:left w:type="dxa" w:w="100"/>
              <w:bottom w:type="dxa" w:w="60"/>
              <w:right w:type="dxa" w:w="100"/>
            </w:tcMar>
          </w:tcPr>
          <w:p>
            <w:pPr>
              <w:spacing w:after="0"/>
            </w:pPr>
            <w:r>
              <w:rPr>
                <w:b/>
                <w:bCs/>
                <w:sz w:val="18"/>
                <w:szCs w:val="18"/>
              </w:rPr>
              <w:t xml:space="preserve">Capital, Sizing &amp; Capacity</w:t>
            </w:r>
          </w:p>
        </w:tc>
        <w:tc>
          <w:tcPr>
            <w:tcW w:type="dxa" w:w="6760"/>
            <w:tcMar>
              <w:top w:type="dxa" w:w="60"/>
              <w:left w:type="dxa" w:w="100"/>
              <w:bottom w:type="dxa" w:w="60"/>
              <w:right w:type="dxa" w:w="100"/>
            </w:tcMar>
          </w:tcPr>
          <w:p>
            <w:pPr>
              <w:spacing w:after="0"/>
            </w:pPr>
            <w:r>
              <w:rPr>
                <w:b w:val="false"/>
                <w:bCs w:val="false"/>
                <w:sz w:val="18"/>
                <w:szCs w:val="18"/>
              </w:rPr>
              <w:t xml:space="preserve">Sizing policy as a researched, validated artefact; portfolio risk budget; participation caps and per-signal capacity estimates.</w:t>
            </w:r>
          </w:p>
        </w:tc>
      </w:tr>
      <w:tr>
        <w:tc>
          <w:tcPr>
            <w:tcW w:type="dxa" w:w="2600"/>
            <w:tcMar>
              <w:top w:type="dxa" w:w="60"/>
              <w:left w:type="dxa" w:w="100"/>
              <w:bottom w:type="dxa" w:w="60"/>
              <w:right w:type="dxa" w:w="100"/>
            </w:tcMar>
          </w:tcPr>
          <w:p>
            <w:pPr>
              <w:spacing w:after="0"/>
            </w:pPr>
            <w:r>
              <w:rPr>
                <w:b/>
                <w:bCs/>
                <w:sz w:val="18"/>
                <w:szCs w:val="18"/>
              </w:rPr>
              <w:t xml:space="preserve">Forward Test Harness</w:t>
            </w:r>
          </w:p>
        </w:tc>
        <w:tc>
          <w:tcPr>
            <w:tcW w:type="dxa" w:w="6760"/>
            <w:tcMar>
              <w:top w:type="dxa" w:w="60"/>
              <w:left w:type="dxa" w:w="100"/>
              <w:bottom w:type="dxa" w:w="60"/>
              <w:right w:type="dxa" w:w="100"/>
            </w:tcMar>
          </w:tcPr>
          <w:p>
            <w:pPr>
              <w:spacing w:after="0"/>
            </w:pPr>
            <w:r>
              <w:rPr>
                <w:b w:val="false"/>
                <w:bCs w:val="false"/>
                <w:sz w:val="18"/>
                <w:szCs w:val="18"/>
              </w:rPr>
              <w:t xml:space="preserve">Paper trading of candidate signals on live data; compares realised behaviour to backtest expectations.</w:t>
            </w:r>
          </w:p>
        </w:tc>
      </w:tr>
      <w:tr>
        <w:tc>
          <w:tcPr>
            <w:tcW w:type="dxa" w:w="2600"/>
            <w:tcMar>
              <w:top w:type="dxa" w:w="60"/>
              <w:left w:type="dxa" w:w="100"/>
              <w:bottom w:type="dxa" w:w="60"/>
              <w:right w:type="dxa" w:w="100"/>
            </w:tcMar>
          </w:tcPr>
          <w:p>
            <w:pPr>
              <w:spacing w:after="0"/>
            </w:pPr>
            <w:r>
              <w:rPr>
                <w:b/>
                <w:bCs/>
                <w:sz w:val="18"/>
                <w:szCs w:val="18"/>
              </w:rPr>
              <w:t xml:space="preserve">Deployment &amp; SDLC</w:t>
            </w:r>
          </w:p>
        </w:tc>
        <w:tc>
          <w:tcPr>
            <w:tcW w:type="dxa" w:w="6760"/>
            <w:tcMar>
              <w:top w:type="dxa" w:w="60"/>
              <w:left w:type="dxa" w:w="100"/>
              <w:bottom w:type="dxa" w:w="60"/>
              <w:right w:type="dxa" w:w="100"/>
            </w:tcMar>
          </w:tcPr>
          <w:p>
            <w:pPr>
              <w:spacing w:after="0"/>
            </w:pPr>
            <w:r>
              <w:rPr>
                <w:b w:val="false"/>
                <w:bCs w:val="false"/>
                <w:sz w:val="18"/>
                <w:szCs w:val="18"/>
              </w:rPr>
              <w:t xml:space="preserve">Promotion gates, environment management, release/rollback, audit trail from hypothesis to production.</w:t>
            </w:r>
          </w:p>
        </w:tc>
      </w:tr>
      <w:tr>
        <w:tc>
          <w:tcPr>
            <w:tcW w:type="dxa" w:w="2600"/>
            <w:tcMar>
              <w:top w:type="dxa" w:w="60"/>
              <w:left w:type="dxa" w:w="100"/>
              <w:bottom w:type="dxa" w:w="60"/>
              <w:right w:type="dxa" w:w="100"/>
            </w:tcMar>
          </w:tcPr>
          <w:p>
            <w:pPr>
              <w:spacing w:after="0"/>
            </w:pPr>
            <w:r>
              <w:rPr>
                <w:b/>
                <w:bCs/>
                <w:sz w:val="18"/>
                <w:szCs w:val="18"/>
              </w:rPr>
              <w:t xml:space="preserve">Production Monitoring &amp; Feedback</w:t>
            </w:r>
          </w:p>
        </w:tc>
        <w:tc>
          <w:tcPr>
            <w:tcW w:type="dxa" w:w="6760"/>
            <w:tcMar>
              <w:top w:type="dxa" w:w="60"/>
              <w:left w:type="dxa" w:w="100"/>
              <w:bottom w:type="dxa" w:w="60"/>
              <w:right w:type="dxa" w:w="100"/>
            </w:tcMar>
          </w:tcPr>
          <w:p>
            <w:pPr>
              <w:spacing w:after="0"/>
            </w:pPr>
            <w:r>
              <w:rPr>
                <w:b w:val="false"/>
                <w:bCs w:val="false"/>
                <w:sz w:val="18"/>
                <w:szCs w:val="18"/>
              </w:rPr>
              <w:t xml:space="preserve">Live vs. expected attribution, decay and drift detection, pre-registered kill criteria, automated alerts, structured feedback into research.</w:t>
            </w:r>
          </w:p>
        </w:tc>
      </w:tr>
    </w:tbl>
    <w:p>
      <w:pPr>
        <w:spacing w:after="120"/>
      </w:pPr>
    </w:p>
    <w:p>
      <w:pPr>
        <w:spacing w:after="160" w:line="300"/>
      </w:pPr>
      <w:r>
        <w:rPr>
          <w:sz w:val="22"/>
          <w:szCs w:val="22"/>
        </w:rPr>
        <w:t xml:space="preserve">AI capabilities are a layer that assists inside several modules (idea generation in Research, code synthesis in the Signal Library, anomaly narration in Monitoring), always subject to the same validation gates as human-authored work, and additionally subject to parametric look-ahead controls (Section 13). The xman execution interface sits at the far right of the pipeline and consumes production signal triggers over webhooks.</w:t>
      </w:r>
    </w:p>
    <w:p>
      <w:pPr>
        <w:pStyle w:val="Heading1"/>
        <w:spacing w:after="200" w:before="360"/>
      </w:pPr>
      <w:r>
        <w:t xml:space="preserve">3. Functional Requirements — Data Layer (FR-DATA)</w:t>
      </w:r>
    </w:p>
    <w:p>
      <w:pPr>
        <w:spacing w:after="160" w:line="300"/>
      </w:pPr>
      <w:r>
        <w:rPr>
          <w:sz w:val="22"/>
          <w:szCs w:val="22"/>
        </w:rPr>
        <w:t xml:space="preserve">Every documented failure mode of quantitative research platforms traces back to data: lookahead bias, survivorship bias, silently revised histories, and inconsistent datasets between research and production. The data layer therefore carries the strictest requirements in the platform. For options research specifically, the raw options chain is not enough; the platform must persist derived analytics (implied volatility, Greeks, fitted surfaces) as first-class, point-in-time historical data. Two properties added in this revision deserve emphasis: expired option contracts generally fall out of vendor instrument masters and cannot be re-requested afterwards, making prospective capture urgent from day one and impossible to satisfy in arrears (to be confirmed empirically with the chosen vendor, but the asymmetry of consequences favours acting as though it is true); and the 2024–2026 Indian regulatory changes mean the market's structure is not stationary across the backtest history, so regulatory epochs are first-class data. Default verification method for this module: test (automated checks against known fixtures), with inspection for catalogue/registry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FR-DATA-01</w:t>
            </w:r>
          </w:p>
        </w:tc>
        <w:tc>
          <w:tcPr>
            <w:tcW w:type="dxa" w:w="6560"/>
            <w:tcMar>
              <w:top w:type="dxa" w:w="60"/>
              <w:left w:type="dxa" w:w="100"/>
              <w:bottom w:type="dxa" w:w="60"/>
              <w:right w:type="dxa" w:w="100"/>
            </w:tcMar>
          </w:tcPr>
          <w:p>
            <w:pPr>
              <w:spacing w:after="0"/>
            </w:pPr>
            <w:r>
              <w:rPr>
                <w:b w:val="false"/>
                <w:bCs w:val="false"/>
                <w:sz w:val="18"/>
                <w:szCs w:val="18"/>
              </w:rPr>
              <w:t xml:space="preserve">Ingest and persist NSE/BSE derivatives data (options chains and futures for index and stock underlyings) at minimum at 1-minute bar resolution, with end-of-day bhavcopy as the reconciliation baseline. (Tick-data extensibility is recorded as assumption C5, not as a schema requirement.)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FR-DATA-02</w:t>
            </w:r>
          </w:p>
        </w:tc>
        <w:tc>
          <w:tcPr>
            <w:tcW w:type="dxa" w:w="6560"/>
            <w:tcMar>
              <w:top w:type="dxa" w:w="60"/>
              <w:left w:type="dxa" w:w="100"/>
              <w:bottom w:type="dxa" w:w="60"/>
              <w:right w:type="dxa" w:w="100"/>
            </w:tcMar>
          </w:tcPr>
          <w:p>
            <w:pPr>
              <w:spacing w:after="0"/>
            </w:pPr>
            <w:r>
              <w:rPr>
                <w:b w:val="false"/>
                <w:bCs w:val="false"/>
                <w:sz w:val="18"/>
                <w:szCs w:val="18"/>
              </w:rPr>
              <w:t xml:space="preserve">Persist underlying cash/index data corporate-action adjusted, retaining both raw and adjusted series, with the adjustment methodology versioned.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FR-DATA-03</w:t>
            </w:r>
          </w:p>
        </w:tc>
        <w:tc>
          <w:tcPr>
            <w:tcW w:type="dxa" w:w="6560"/>
            <w:tcMar>
              <w:top w:type="dxa" w:w="60"/>
              <w:left w:type="dxa" w:w="100"/>
              <w:bottom w:type="dxa" w:w="60"/>
              <w:right w:type="dxa" w:w="100"/>
            </w:tcMar>
          </w:tcPr>
          <w:p>
            <w:pPr>
              <w:spacing w:after="0"/>
            </w:pPr>
            <w:r>
              <w:rPr>
                <w:b w:val="false"/>
                <w:bCs w:val="false"/>
                <w:sz w:val="18"/>
                <w:szCs w:val="18"/>
              </w:rPr>
              <w:t xml:space="preserve">All data is stored point-in-time: every record carries both event time and knowledge time (when it became available), and all research APIs default to as-of queries that make lookahead access impossible rather than merely discouraged.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FR-DATA-04</w:t>
            </w:r>
          </w:p>
        </w:tc>
        <w:tc>
          <w:tcPr>
            <w:tcW w:type="dxa" w:w="6560"/>
            <w:tcMar>
              <w:top w:type="dxa" w:w="60"/>
              <w:left w:type="dxa" w:w="100"/>
              <w:bottom w:type="dxa" w:w="60"/>
              <w:right w:type="dxa" w:w="100"/>
            </w:tcMar>
          </w:tcPr>
          <w:p>
            <w:pPr>
              <w:spacing w:after="0"/>
            </w:pPr>
            <w:r>
              <w:rPr>
                <w:b w:val="false"/>
                <w:bCs w:val="false"/>
                <w:sz w:val="18"/>
                <w:szCs w:val="18"/>
              </w:rPr>
              <w:t xml:space="preserve">Persist contract reference data as history: lot sizes, tick sizes, strike schemes, expiry calendars, ban lists, margin parameters and regulatory changes, each valid over a date range, so backtests use the rules that applied on the simulated date.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FR-DATA-05</w:t>
            </w:r>
          </w:p>
        </w:tc>
        <w:tc>
          <w:tcPr>
            <w:tcW w:type="dxa" w:w="6560"/>
            <w:tcMar>
              <w:top w:type="dxa" w:w="60"/>
              <w:left w:type="dxa" w:w="100"/>
              <w:bottom w:type="dxa" w:w="60"/>
              <w:right w:type="dxa" w:w="100"/>
            </w:tcMar>
          </w:tcPr>
          <w:p>
            <w:pPr>
              <w:spacing w:after="0"/>
            </w:pPr>
            <w:r>
              <w:rPr>
                <w:b w:val="false"/>
                <w:bCs w:val="false"/>
                <w:sz w:val="18"/>
                <w:szCs w:val="18"/>
              </w:rPr>
              <w:t xml:space="preserve">Compute and persist implied volatility (using a robust solver of production quality, e.g. the Jäckel "Let's Be Rational" approach) and first-order Greeks (delta, gamma, theta, vega, rho) for every option record, as point-in-time history. Second-order Greeks (vanna, charm, volga) are computed on demand for strategies that need them.</w:t>
            </w:r>
          </w:p>
        </w:tc>
        <w:tc>
          <w:tcPr>
            <w:tcW w:type="dxa" w:w="1600"/>
            <w:tcMar>
              <w:top w:type="dxa" w:w="60"/>
              <w:left w:type="dxa" w:w="100"/>
              <w:bottom w:type="dxa" w:w="60"/>
              <w:right w:type="dxa" w:w="100"/>
            </w:tcMar>
          </w:tcPr>
          <w:p>
            <w:pPr>
              <w:spacing w:after="0"/>
            </w:pPr>
            <w:r>
              <w:rPr>
                <w:b w:val="false"/>
                <w:bCs w:val="false"/>
                <w:sz w:val="18"/>
                <w:szCs w:val="18"/>
              </w:rPr>
              <w:t xml:space="preserve">Must (2nd-order: Could)</w:t>
            </w:r>
          </w:p>
        </w:tc>
      </w:tr>
      <w:tr>
        <w:tc>
          <w:tcPr>
            <w:tcW w:type="dxa" w:w="1200"/>
            <w:tcMar>
              <w:top w:type="dxa" w:w="60"/>
              <w:left w:type="dxa" w:w="100"/>
              <w:bottom w:type="dxa" w:w="60"/>
              <w:right w:type="dxa" w:w="100"/>
            </w:tcMar>
          </w:tcPr>
          <w:p>
            <w:pPr>
              <w:spacing w:after="0"/>
            </w:pPr>
            <w:r>
              <w:rPr>
                <w:b/>
                <w:bCs/>
                <w:sz w:val="18"/>
                <w:szCs w:val="18"/>
              </w:rPr>
              <w:t xml:space="preserve">FR-DATA-06</w:t>
            </w:r>
          </w:p>
        </w:tc>
        <w:tc>
          <w:tcPr>
            <w:tcW w:type="dxa" w:w="6560"/>
            <w:tcMar>
              <w:top w:type="dxa" w:w="60"/>
              <w:left w:type="dxa" w:w="100"/>
              <w:bottom w:type="dxa" w:w="60"/>
              <w:right w:type="dxa" w:w="100"/>
            </w:tcMar>
          </w:tcPr>
          <w:p>
            <w:pPr>
              <w:spacing w:after="0"/>
            </w:pPr>
            <w:r>
              <w:rPr>
                <w:b w:val="false"/>
                <w:bCs w:val="false"/>
                <w:sz w:val="18"/>
                <w:szCs w:val="18"/>
              </w:rPr>
              <w:t xml:space="preserve">Fit and persist arbitrage-free implied volatility surfaces per underlying using a parametric model (SVI/SSVI as baseline, SABR as an alternative), storing fitted parameters, fit quality metrics and flagged arbitrage violations. Fitting frequency is a configuration (end-of-day baseline; intraday where a strategy requires it) rather than mandated per-minute.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FR-DATA-07</w:t>
            </w:r>
          </w:p>
        </w:tc>
        <w:tc>
          <w:tcPr>
            <w:tcW w:type="dxa" w:w="6560"/>
            <w:tcMar>
              <w:top w:type="dxa" w:w="60"/>
              <w:left w:type="dxa" w:w="100"/>
              <w:bottom w:type="dxa" w:w="60"/>
              <w:right w:type="dxa" w:w="100"/>
            </w:tcMar>
          </w:tcPr>
          <w:p>
            <w:pPr>
              <w:spacing w:after="0"/>
            </w:pPr>
            <w:r>
              <w:rPr>
                <w:b w:val="false"/>
                <w:bCs w:val="false"/>
                <w:sz w:val="18"/>
                <w:szCs w:val="18"/>
              </w:rPr>
              <w:t xml:space="preserve">Compute and persist standard volatility analytics: realised volatility over multiple windows and estimators, variance risk premium (IV minus RV), IV rank/percentile, term-structure state (contango/backwardation) and skew metrics, as reusable point-in-time series.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FR-DATA-08</w:t>
            </w:r>
          </w:p>
        </w:tc>
        <w:tc>
          <w:tcPr>
            <w:tcW w:type="dxa" w:w="6560"/>
            <w:tcMar>
              <w:top w:type="dxa" w:w="60"/>
              <w:left w:type="dxa" w:w="100"/>
              <w:bottom w:type="dxa" w:w="60"/>
              <w:right w:type="dxa" w:w="100"/>
            </w:tcMar>
          </w:tcPr>
          <w:p>
            <w:pPr>
              <w:spacing w:after="0"/>
            </w:pPr>
            <w:r>
              <w:rPr>
                <w:b w:val="false"/>
                <w:bCs w:val="false"/>
                <w:sz w:val="18"/>
                <w:szCs w:val="18"/>
              </w:rPr>
              <w:t xml:space="preserve">Run automated data-quality control on ingest: schema validation, gap detection, stale-price detection, outlier IV detection (default rule: a smile point more than a configurable threshold — initial value 20 vol points — from the interpolation of its strike neighbours at the same expiry is flagged), cross-source reconciliation, and quarantine of suspect records with alerting. QC status of every record is queryable, and the outlier detector ships with a negative control set of known-clean chains on which it must not fire.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FR-DATA-09</w:t>
            </w:r>
          </w:p>
        </w:tc>
        <w:tc>
          <w:tcPr>
            <w:tcW w:type="dxa" w:w="6560"/>
            <w:tcMar>
              <w:top w:type="dxa" w:w="60"/>
              <w:left w:type="dxa" w:w="100"/>
              <w:bottom w:type="dxa" w:w="60"/>
              <w:right w:type="dxa" w:w="100"/>
            </w:tcMar>
          </w:tcPr>
          <w:p>
            <w:pPr>
              <w:spacing w:after="0"/>
            </w:pPr>
            <w:r>
              <w:rPr>
                <w:b w:val="false"/>
                <w:bCs w:val="false"/>
                <w:sz w:val="18"/>
                <w:szCs w:val="18"/>
              </w:rPr>
              <w:t xml:space="preserve">Support immutable, named data snapshots. A backtest or validation run always executes against a snapshot identifier, and re-running against the same snapshot reproduces byte-identical inputs.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FR-DATA-10</w:t>
            </w:r>
          </w:p>
        </w:tc>
        <w:tc>
          <w:tcPr>
            <w:tcW w:type="dxa" w:w="6560"/>
            <w:tcMar>
              <w:top w:type="dxa" w:w="60"/>
              <w:left w:type="dxa" w:w="100"/>
              <w:bottom w:type="dxa" w:w="60"/>
              <w:right w:type="dxa" w:w="100"/>
            </w:tcMar>
          </w:tcPr>
          <w:p>
            <w:pPr>
              <w:spacing w:after="0"/>
            </w:pPr>
            <w:r>
              <w:rPr>
                <w:b w:val="false"/>
                <w:bCs w:val="false"/>
                <w:sz w:val="18"/>
                <w:szCs w:val="18"/>
              </w:rPr>
              <w:t xml:space="preserve">Late corrections and vendor restatements are applied as new versions, never as in-place mutation; the platform can answer "what did we believe on date D" for any series.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FR-DATA-11</w:t>
            </w:r>
          </w:p>
        </w:tc>
        <w:tc>
          <w:tcPr>
            <w:tcW w:type="dxa" w:w="6560"/>
            <w:tcMar>
              <w:top w:type="dxa" w:w="60"/>
              <w:left w:type="dxa" w:w="100"/>
              <w:bottom w:type="dxa" w:w="60"/>
              <w:right w:type="dxa" w:w="100"/>
            </w:tcMar>
          </w:tcPr>
          <w:p>
            <w:pPr>
              <w:spacing w:after="0"/>
            </w:pPr>
            <w:r>
              <w:rPr>
                <w:b w:val="false"/>
                <w:bCs w:val="false"/>
                <w:sz w:val="18"/>
                <w:szCs w:val="18"/>
              </w:rPr>
              <w:t xml:space="preserve">Maintain a data catalogue describing every dataset, its source, update cadence, known limitations and QC history.</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FR-DATA-12</w:t>
            </w:r>
          </w:p>
        </w:tc>
        <w:tc>
          <w:tcPr>
            <w:tcW w:type="dxa" w:w="6560"/>
            <w:tcMar>
              <w:top w:type="dxa" w:w="60"/>
              <w:left w:type="dxa" w:w="100"/>
              <w:bottom w:type="dxa" w:w="60"/>
              <w:right w:type="dxa" w:w="100"/>
            </w:tcMar>
          </w:tcPr>
          <w:p>
            <w:pPr>
              <w:spacing w:after="0"/>
            </w:pPr>
            <w:r>
              <w:rPr>
                <w:b w:val="false"/>
                <w:bCs w:val="false"/>
                <w:sz w:val="18"/>
                <w:szCs w:val="18"/>
              </w:rPr>
              <w:t xml:space="preserve">Ingest supplementary datasets useful for options signals: India VIX, FII/DII flows, open-interest and participant-wise OI data, event calendars (expiries, results, RBI/Fed meetings, budget) as point-in-time series.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FR-DATA-13</w:t>
            </w:r>
          </w:p>
        </w:tc>
        <w:tc>
          <w:tcPr>
            <w:tcW w:type="dxa" w:w="6560"/>
            <w:tcMar>
              <w:top w:type="dxa" w:w="60"/>
              <w:left w:type="dxa" w:w="100"/>
              <w:bottom w:type="dxa" w:w="60"/>
              <w:right w:type="dxa" w:w="100"/>
            </w:tcMar>
          </w:tcPr>
          <w:p>
            <w:pPr>
              <w:spacing w:after="0"/>
            </w:pPr>
            <w:r>
              <w:rPr>
                <w:b w:val="false"/>
                <w:bCs w:val="false"/>
                <w:sz w:val="18"/>
                <w:szCs w:val="18"/>
              </w:rPr>
              <w:t xml:space="preserve">Support alternative/unstructured data (news, filings, transcripts) with embeddings aligned to market timestamps for research use.</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r>
        <w:tc>
          <w:tcPr>
            <w:tcW w:type="dxa" w:w="1200"/>
            <w:tcMar>
              <w:top w:type="dxa" w:w="60"/>
              <w:left w:type="dxa" w:w="100"/>
              <w:bottom w:type="dxa" w:w="60"/>
              <w:right w:type="dxa" w:w="100"/>
            </w:tcMar>
          </w:tcPr>
          <w:p>
            <w:pPr>
              <w:spacing w:after="0"/>
            </w:pPr>
            <w:r>
              <w:rPr>
                <w:b/>
                <w:bCs/>
                <w:sz w:val="18"/>
                <w:szCs w:val="18"/>
              </w:rPr>
              <w:t xml:space="preserve">FR-DATA-14</w:t>
            </w:r>
          </w:p>
        </w:tc>
        <w:tc>
          <w:tcPr>
            <w:tcW w:type="dxa" w:w="6560"/>
            <w:tcMar>
              <w:top w:type="dxa" w:w="60"/>
              <w:left w:type="dxa" w:w="100"/>
              <w:bottom w:type="dxa" w:w="60"/>
              <w:right w:type="dxa" w:w="100"/>
            </w:tcMar>
          </w:tcPr>
          <w:p>
            <w:pPr>
              <w:spacing w:after="0"/>
            </w:pPr>
            <w:r>
              <w:rPr>
                <w:b w:val="false"/>
                <w:bCs w:val="false"/>
                <w:sz w:val="18"/>
                <w:szCs w:val="18"/>
              </w:rPr>
              <w:t xml:space="preserve">Prospective capture: continuous daily capture of the full live derivatives universe (all listed contracts, including those expiring) begins at platform day one and is monitored as a production job, because expired contracts generally cannot be backfilled from vendors afterwards. A backfill-depth target for pre-platform history is recorded against constraint C4.</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FR-DATA-15</w:t>
            </w:r>
          </w:p>
        </w:tc>
        <w:tc>
          <w:tcPr>
            <w:tcW w:type="dxa" w:w="6560"/>
            <w:tcMar>
              <w:top w:type="dxa" w:w="60"/>
              <w:left w:type="dxa" w:w="100"/>
              <w:bottom w:type="dxa" w:w="60"/>
              <w:right w:type="dxa" w:w="100"/>
            </w:tcMar>
          </w:tcPr>
          <w:p>
            <w:pPr>
              <w:spacing w:after="0"/>
            </w:pPr>
            <w:r>
              <w:rPr>
                <w:b w:val="false"/>
                <w:bCs w:val="false"/>
                <w:sz w:val="18"/>
                <w:szCs w:val="18"/>
              </w:rPr>
              <w:t xml:space="preserve">Persist daily instrument-master snapshots (the full list of listed contracts and their attributes each day) as point-in-time history, so the tradable universe on any historical date is answerable without reconstruction.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FR-DATA-16</w:t>
            </w:r>
          </w:p>
        </w:tc>
        <w:tc>
          <w:tcPr>
            <w:tcW w:type="dxa" w:w="6560"/>
            <w:tcMar>
              <w:top w:type="dxa" w:w="60"/>
              <w:left w:type="dxa" w:w="100"/>
              <w:bottom w:type="dxa" w:w="60"/>
              <w:right w:type="dxa" w:w="100"/>
            </w:tcMar>
          </w:tcPr>
          <w:p>
            <w:pPr>
              <w:spacing w:after="0"/>
            </w:pPr>
            <w:r>
              <w:rPr>
                <w:b w:val="false"/>
                <w:bCs w:val="false"/>
                <w:sz w:val="18"/>
                <w:szCs w:val="18"/>
              </w:rPr>
              <w:t xml:space="preserve">Maintain a regulatory-epoch registry: named epochs with effective dates for structural market changes (e.g. the November 2024 contract-size and weekly-expiry changes, the October 2024 STT change, the 2025 expiry-day migration between exchanges), each with a description of what analytical assumptions it breaks. Epoch boundary dates are verified against primary exchange/SEBI circulars before entry.</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FR-DATA-17</w:t>
            </w:r>
          </w:p>
        </w:tc>
        <w:tc>
          <w:tcPr>
            <w:tcW w:type="dxa" w:w="6560"/>
            <w:tcMar>
              <w:top w:type="dxa" w:w="60"/>
              <w:left w:type="dxa" w:w="100"/>
              <w:bottom w:type="dxa" w:w="60"/>
              <w:right w:type="dxa" w:w="100"/>
            </w:tcMar>
          </w:tcPr>
          <w:p>
            <w:pPr>
              <w:spacing w:after="0"/>
            </w:pPr>
            <w:r>
              <w:rPr>
                <w:b w:val="false"/>
                <w:bCs w:val="false"/>
                <w:sz w:val="18"/>
                <w:szCs w:val="18"/>
              </w:rPr>
              <w:t xml:space="preserve">Persist index constituent history with effective dates and retain delisted symbols and their full history, so a universe resolver can answer "what was in the index on date D" and survivorship bias cannot re-enter through the universe definition.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FR-DATA-18</w:t>
            </w:r>
          </w:p>
        </w:tc>
        <w:tc>
          <w:tcPr>
            <w:tcW w:type="dxa" w:w="6560"/>
            <w:tcMar>
              <w:top w:type="dxa" w:w="60"/>
              <w:left w:type="dxa" w:w="100"/>
              <w:bottom w:type="dxa" w:w="60"/>
              <w:right w:type="dxa" w:w="100"/>
            </w:tcMar>
          </w:tcPr>
          <w:p>
            <w:pPr>
              <w:spacing w:after="0"/>
            </w:pPr>
            <w:r>
              <w:rPr>
                <w:b w:val="false"/>
                <w:bCs w:val="false"/>
                <w:sz w:val="18"/>
                <w:szCs w:val="18"/>
              </w:rPr>
              <w:t xml:space="preserve">Where the vendor supplies implied volatility and Greeks, reconcile vendor-supplied against independently computed values and persist the residual as a data-quality series; alert on drift in the residual. This catches vendor error and own-model error simultaneously.</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4. Functional Requirements — Research Environment (FR-RES)</w:t>
      </w:r>
    </w:p>
    <w:p>
      <w:pPr>
        <w:spacing w:after="160" w:line="300"/>
      </w:pPr>
      <w:r>
        <w:rPr>
          <w:sz w:val="22"/>
          <w:szCs w:val="22"/>
        </w:rPr>
        <w:t xml:space="preserve">The research environment is where hypotheses are formed and killed. Institutional practice separates exploratory work (fast, interactive, permissive) from validated claims (slow, gated, recorded) — but the boundary between the two is where trial-count integrity is won or lost, and this revision takes an explicit position on it (FR-RES-09): the platform instruments what it can, requires declared exploration sessions for the rest, and treats the recorded trial count as a lower bound whose consequence is stated on every deflated statistic. Default verification method for this module: demonstration, with test for the SDK logging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FR-RES-01</w:t>
            </w:r>
          </w:p>
        </w:tc>
        <w:tc>
          <w:tcPr>
            <w:tcW w:type="dxa" w:w="6560"/>
            <w:tcMar>
              <w:top w:type="dxa" w:w="60"/>
              <w:left w:type="dxa" w:w="100"/>
              <w:bottom w:type="dxa" w:w="60"/>
              <w:right w:type="dxa" w:w="100"/>
            </w:tcMar>
          </w:tcPr>
          <w:p>
            <w:pPr>
              <w:spacing w:after="0"/>
            </w:pPr>
            <w:r>
              <w:rPr>
                <w:b w:val="false"/>
                <w:bCs w:val="false"/>
                <w:sz w:val="18"/>
                <w:szCs w:val="18"/>
              </w:rPr>
              <w:t xml:space="preserve">Provide an interactive notebook-based research workspace (JupyterLab or equivalent) with pre-configured access to the data layer, feature library, backtester and validation service through a single research SDK.</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FR-RES-02</w:t>
            </w:r>
          </w:p>
        </w:tc>
        <w:tc>
          <w:tcPr>
            <w:tcW w:type="dxa" w:w="6560"/>
            <w:tcMar>
              <w:top w:type="dxa" w:w="60"/>
              <w:left w:type="dxa" w:w="100"/>
              <w:bottom w:type="dxa" w:w="60"/>
              <w:right w:type="dxa" w:w="100"/>
            </w:tcMar>
          </w:tcPr>
          <w:p>
            <w:pPr>
              <w:spacing w:after="0"/>
            </w:pPr>
            <w:r>
              <w:rPr>
                <w:b w:val="false"/>
                <w:bCs w:val="false"/>
                <w:sz w:val="18"/>
                <w:szCs w:val="18"/>
              </w:rPr>
              <w:t xml:space="preserve">Provide a curated statistical toolbox as a maintained library: stationarity and unit-root tests, GARCH-family volatility models, regime detection (HMM, Markov-switching), Hurst exponent, Kalman filtering, cointegration, wavelet decomposition, and bootstrap/Monte Carlo resampling. Fit criterion: each tool has at least one executable example notebook running against a pinned platform snapshot, and the example suite runs green in CI.</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FR-RES-03</w:t>
            </w:r>
          </w:p>
        </w:tc>
        <w:tc>
          <w:tcPr>
            <w:tcW w:type="dxa" w:w="6560"/>
            <w:tcMar>
              <w:top w:type="dxa" w:w="60"/>
              <w:left w:type="dxa" w:w="100"/>
              <w:bottom w:type="dxa" w:w="60"/>
              <w:right w:type="dxa" w:w="100"/>
            </w:tcMar>
          </w:tcPr>
          <w:p>
            <w:pPr>
              <w:spacing w:after="0"/>
            </w:pPr>
            <w:r>
              <w:rPr>
                <w:b w:val="false"/>
                <w:bCs w:val="false"/>
                <w:sz w:val="18"/>
                <w:szCs w:val="18"/>
              </w:rPr>
              <w:t xml:space="preserve">Every research project begins with a hypothesis record in a structured registry: economic rationale, predicted effect, target instruments, evaluation plan and status (open, supported, rejected, promoted). The registry is searchable and hypotheses are linked to all experiments run against them.</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FR-RES-04</w:t>
            </w:r>
          </w:p>
        </w:tc>
        <w:tc>
          <w:tcPr>
            <w:tcW w:type="dxa" w:w="6560"/>
            <w:tcMar>
              <w:top w:type="dxa" w:w="60"/>
              <w:left w:type="dxa" w:w="100"/>
              <w:bottom w:type="dxa" w:w="60"/>
              <w:right w:type="dxa" w:w="100"/>
            </w:tcMar>
          </w:tcPr>
          <w:p>
            <w:pPr>
              <w:spacing w:after="0"/>
            </w:pPr>
            <w:r>
              <w:rPr>
                <w:b w:val="false"/>
                <w:bCs w:val="false"/>
                <w:sz w:val="18"/>
                <w:szCs w:val="18"/>
              </w:rPr>
              <w:t xml:space="preserve">All experiment runs through the SDK (parameters, data snapshot, code version, results) are automatically logged to an experiment tracker without researcher action; nothing run through the pipeline can be unrecorded.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FR-RES-05</w:t>
            </w:r>
          </w:p>
        </w:tc>
        <w:tc>
          <w:tcPr>
            <w:tcW w:type="dxa" w:w="6560"/>
            <w:tcMar>
              <w:top w:type="dxa" w:w="60"/>
              <w:left w:type="dxa" w:w="100"/>
              <w:bottom w:type="dxa" w:w="60"/>
              <w:right w:type="dxa" w:w="100"/>
            </w:tcMar>
          </w:tcPr>
          <w:p>
            <w:pPr>
              <w:spacing w:after="0"/>
            </w:pPr>
            <w:r>
              <w:rPr>
                <w:b w:val="false"/>
                <w:bCs w:val="false"/>
                <w:sz w:val="18"/>
                <w:szCs w:val="18"/>
              </w:rPr>
              <w:t xml:space="preserve">Research workloads are resource-partitioned from live trading (CPU/memory/IO quotas and priority, per constraint C2): live trading must be protected from research load. Where hardware is shared this is a partitioning guarantee, not an isolation guarantee, and NFR-09 states the enforcement mechanism.</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FR-RES-06</w:t>
            </w:r>
          </w:p>
        </w:tc>
        <w:tc>
          <w:tcPr>
            <w:tcW w:type="dxa" w:w="6560"/>
            <w:tcMar>
              <w:top w:type="dxa" w:w="60"/>
              <w:left w:type="dxa" w:w="100"/>
              <w:bottom w:type="dxa" w:w="60"/>
              <w:right w:type="dxa" w:w="100"/>
            </w:tcMar>
          </w:tcPr>
          <w:p>
            <w:pPr>
              <w:spacing w:after="0"/>
            </w:pPr>
            <w:r>
              <w:rPr>
                <w:b w:val="false"/>
                <w:bCs w:val="false"/>
                <w:sz w:val="18"/>
                <w:szCs w:val="18"/>
              </w:rPr>
              <w:t xml:space="preserve">Provide options-specific exploratory tooling, minimally: (a) payoff and Greek-profile visualisation for arbitrary multi-leg structures; (b) surface visualisation over time; (c) scenario analysis under joint spot/vol/time shocks. Fit criterion: a researcher can render each of (a)–(c) for any historical date from the SDK in a single call.</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FR-RES-07</w:t>
            </w:r>
          </w:p>
        </w:tc>
        <w:tc>
          <w:tcPr>
            <w:tcW w:type="dxa" w:w="6560"/>
            <w:tcMar>
              <w:top w:type="dxa" w:w="60"/>
              <w:left w:type="dxa" w:w="100"/>
              <w:bottom w:type="dxa" w:w="60"/>
              <w:right w:type="dxa" w:w="100"/>
            </w:tcMar>
          </w:tcPr>
          <w:p>
            <w:pPr>
              <w:spacing w:after="0"/>
            </w:pPr>
            <w:r>
              <w:rPr>
                <w:b w:val="false"/>
                <w:bCs w:val="false"/>
                <w:sz w:val="18"/>
                <w:szCs w:val="18"/>
              </w:rPr>
              <w:t xml:space="preserve">Provide reusable research report templates so that a completed study (hypothesis, method, results, deflated metrics, decision) renders to a standard document for review.</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FR-RES-08</w:t>
            </w:r>
          </w:p>
        </w:tc>
        <w:tc>
          <w:tcPr>
            <w:tcW w:type="dxa" w:w="6560"/>
            <w:tcMar>
              <w:top w:type="dxa" w:w="60"/>
              <w:left w:type="dxa" w:w="100"/>
              <w:bottom w:type="dxa" w:w="60"/>
              <w:right w:type="dxa" w:w="100"/>
            </w:tcMar>
          </w:tcPr>
          <w:p>
            <w:pPr>
              <w:spacing w:after="0"/>
            </w:pPr>
            <w:r>
              <w:rPr>
                <w:b w:val="false"/>
                <w:bCs w:val="false"/>
                <w:sz w:val="18"/>
                <w:szCs w:val="18"/>
              </w:rPr>
              <w:t xml:space="preserve">Support scheduled research jobs (e.g. nightly re-estimation of a regime model) with results published back to the data layer as derived series.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FR-RES-09</w:t>
            </w:r>
          </w:p>
        </w:tc>
        <w:tc>
          <w:tcPr>
            <w:tcW w:type="dxa" w:w="6560"/>
            <w:tcMar>
              <w:top w:type="dxa" w:w="60"/>
              <w:left w:type="dxa" w:w="100"/>
              <w:bottom w:type="dxa" w:w="60"/>
              <w:right w:type="dxa" w:w="100"/>
            </w:tcMar>
          </w:tcPr>
          <w:p>
            <w:pPr>
              <w:spacing w:after="0"/>
            </w:pPr>
            <w:r>
              <w:rPr>
                <w:b w:val="false"/>
                <w:bCs w:val="false"/>
                <w:sz w:val="18"/>
                <w:szCs w:val="18"/>
              </w:rPr>
              <w:t xml:space="preserve">Exploration-to-trial boundary: (a) every SDK evaluation of a signal or parameterised variant is logged as a trial automatically, including inside notebooks; (b) ad-hoc exploration that bypasses the SDK is permitted only inside a declared exploration session, opened against a hypothesis id, whose existence and duration are recorded; (c) the platform treats the recorded trial count as a lower bound, and every DSR/PBO report carries the annotation that it is computed from a lower-bound count and is therefore an optimistic bound. Undeclared exploration is a process violation surfaced by periodic self-audit against notebook execution history.</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bl>
    <w:p>
      <w:pPr>
        <w:pStyle w:val="Heading1"/>
        <w:spacing w:after="200" w:before="360"/>
      </w:pPr>
      <w:r>
        <w:t xml:space="preserve">5. Functional Requirements — Signal &amp; Feature Library (FR-SIG)</w:t>
      </w:r>
    </w:p>
    <w:p>
      <w:pPr>
        <w:spacing w:after="160" w:line="300"/>
      </w:pPr>
      <w:r>
        <w:rPr>
          <w:sz w:val="22"/>
          <w:szCs w:val="22"/>
        </w:rPr>
        <w:t xml:space="preserve">A signal is executable code with a contract, not a notebook cell. The feature store pattern is adopted for its central benefit: a feature is defined once, computed identically for backtest and live use, and reused across signals — eliminating training/serving skew. Signals compose features into a trigger with defined semantics that xman-executed strategies can consume. Default verification method: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FR-SIG-01</w:t>
            </w:r>
          </w:p>
        </w:tc>
        <w:tc>
          <w:tcPr>
            <w:tcW w:type="dxa" w:w="6560"/>
            <w:tcMar>
              <w:top w:type="dxa" w:w="60"/>
              <w:left w:type="dxa" w:w="100"/>
              <w:bottom w:type="dxa" w:w="60"/>
              <w:right w:type="dxa" w:w="100"/>
            </w:tcMar>
          </w:tcPr>
          <w:p>
            <w:pPr>
              <w:spacing w:after="0"/>
            </w:pPr>
            <w:r>
              <w:rPr>
                <w:b w:val="false"/>
                <w:bCs w:val="false"/>
                <w:sz w:val="18"/>
                <w:szCs w:val="18"/>
              </w:rPr>
              <w:t xml:space="preserve">Provide a feature store in which every feature is defined as versioned code with a declared schema, update frequency and data dependencies; features are computed once and served consistently to research (offline, historical) and production (online, latest) consumers.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FR-SIG-02</w:t>
            </w:r>
          </w:p>
        </w:tc>
        <w:tc>
          <w:tcPr>
            <w:tcW w:type="dxa" w:w="6560"/>
            <w:tcMar>
              <w:top w:type="dxa" w:w="60"/>
              <w:left w:type="dxa" w:w="100"/>
              <w:bottom w:type="dxa" w:w="60"/>
              <w:right w:type="dxa" w:w="100"/>
            </w:tcMar>
          </w:tcPr>
          <w:p>
            <w:pPr>
              <w:spacing w:after="0"/>
            </w:pPr>
            <w:r>
              <w:rPr>
                <w:b w:val="false"/>
                <w:bCs w:val="false"/>
                <w:sz w:val="18"/>
                <w:szCs w:val="18"/>
              </w:rPr>
              <w:t xml:space="preserve">Define a standard signal contract: a signal declares its universe, features consumed, output semantics (e.g. entry/exit/target-position, direction, strength, confidence), evaluation frequency, and its intended strategy mapping.</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FR-SIG-03</w:t>
            </w:r>
          </w:p>
        </w:tc>
        <w:tc>
          <w:tcPr>
            <w:tcW w:type="dxa" w:w="6560"/>
            <w:tcMar>
              <w:top w:type="dxa" w:w="60"/>
              <w:left w:type="dxa" w:w="100"/>
              <w:bottom w:type="dxa" w:w="60"/>
              <w:right w:type="dxa" w:w="100"/>
            </w:tcMar>
          </w:tcPr>
          <w:p>
            <w:pPr>
              <w:spacing w:after="0"/>
            </w:pPr>
            <w:r>
              <w:rPr>
                <w:b w:val="false"/>
                <w:bCs w:val="false"/>
                <w:sz w:val="18"/>
                <w:szCs w:val="18"/>
              </w:rPr>
              <w:t xml:space="preserve">Signals and features are stored in git-backed repositories; a signal version is a commit, and the registry records for each version its lineage: hypothesis id, experiments, data snapshots, validation results and review decisions.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FR-SIG-04</w:t>
            </w:r>
          </w:p>
        </w:tc>
        <w:tc>
          <w:tcPr>
            <w:tcW w:type="dxa" w:w="6560"/>
            <w:tcMar>
              <w:top w:type="dxa" w:w="60"/>
              <w:left w:type="dxa" w:w="100"/>
              <w:bottom w:type="dxa" w:w="60"/>
              <w:right w:type="dxa" w:w="100"/>
            </w:tcMar>
          </w:tcPr>
          <w:p>
            <w:pPr>
              <w:spacing w:after="0"/>
            </w:pPr>
            <w:r>
              <w:rPr>
                <w:b w:val="false"/>
                <w:bCs w:val="false"/>
                <w:sz w:val="18"/>
                <w:szCs w:val="18"/>
              </w:rPr>
              <w:t xml:space="preserve">The same signal artefact runs unmodified in three modes — backtest, paper and live — with mode-specific data adapters, guaranteeing research/production parity at the code level.</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FR-SIG-05</w:t>
            </w:r>
          </w:p>
        </w:tc>
        <w:tc>
          <w:tcPr>
            <w:tcW w:type="dxa" w:w="6560"/>
            <w:tcMar>
              <w:top w:type="dxa" w:w="60"/>
              <w:left w:type="dxa" w:w="100"/>
              <w:bottom w:type="dxa" w:w="60"/>
              <w:right w:type="dxa" w:w="100"/>
            </w:tcMar>
          </w:tcPr>
          <w:p>
            <w:pPr>
              <w:spacing w:after="0"/>
            </w:pPr>
            <w:r>
              <w:rPr>
                <w:b w:val="false"/>
                <w:bCs w:val="false"/>
                <w:sz w:val="18"/>
                <w:szCs w:val="18"/>
              </w:rPr>
              <w:t xml:space="preserve">Support signal composition: ensembles or meta-signals built from registered signals, with lineage preserved through composition.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FR-SIG-06</w:t>
            </w:r>
          </w:p>
        </w:tc>
        <w:tc>
          <w:tcPr>
            <w:tcW w:type="dxa" w:w="6560"/>
            <w:tcMar>
              <w:top w:type="dxa" w:w="60"/>
              <w:left w:type="dxa" w:w="100"/>
              <w:bottom w:type="dxa" w:w="60"/>
              <w:right w:type="dxa" w:w="100"/>
            </w:tcMar>
          </w:tcPr>
          <w:p>
            <w:pPr>
              <w:spacing w:after="0"/>
            </w:pPr>
            <w:r>
              <w:rPr>
                <w:b w:val="false"/>
                <w:bCs w:val="false"/>
                <w:sz w:val="18"/>
                <w:szCs w:val="18"/>
              </w:rPr>
              <w:t xml:space="preserve">Track cross-signal correlation and feature overlap in the registry so that crowding/redundancy among signals is visible before capital is allocated to a new one.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FR-SIG-07</w:t>
            </w:r>
          </w:p>
        </w:tc>
        <w:tc>
          <w:tcPr>
            <w:tcW w:type="dxa" w:w="6560"/>
            <w:tcMar>
              <w:top w:type="dxa" w:w="60"/>
              <w:left w:type="dxa" w:w="100"/>
              <w:bottom w:type="dxa" w:w="60"/>
              <w:right w:type="dxa" w:w="100"/>
            </w:tcMar>
          </w:tcPr>
          <w:p>
            <w:pPr>
              <w:spacing w:after="0"/>
            </w:pPr>
            <w:r>
              <w:rPr>
                <w:b w:val="false"/>
                <w:bCs w:val="false"/>
                <w:sz w:val="18"/>
                <w:szCs w:val="18"/>
              </w:rPr>
              <w:t xml:space="preserve">Support deprecation workflow: a signal version can be marked deprecated with a reason and a successor, and the registry prevents deprecated versions from being promoted.</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FR-SIG-08</w:t>
            </w:r>
          </w:p>
        </w:tc>
        <w:tc>
          <w:tcPr>
            <w:tcW w:type="dxa" w:w="6560"/>
            <w:tcMar>
              <w:top w:type="dxa" w:w="60"/>
              <w:left w:type="dxa" w:w="100"/>
              <w:bottom w:type="dxa" w:w="60"/>
              <w:right w:type="dxa" w:w="100"/>
            </w:tcMar>
          </w:tcPr>
          <w:p>
            <w:pPr>
              <w:spacing w:after="0"/>
            </w:pPr>
            <w:r>
              <w:rPr>
                <w:b w:val="false"/>
                <w:bCs w:val="false"/>
                <w:sz w:val="18"/>
                <w:szCs w:val="18"/>
              </w:rPr>
              <w:t xml:space="preserve">Record signal provenance (original idea, literature-derived, AI-generated, hybrid) on every signal. Literature-derived signals carry a default performance haircut applied to backtest expectations at gate evaluation, reflecting the documented post-publication decay of published predictors (the canonical figures — roughly 26% lower out-of-sample and 58% lower post-publication — are equity cross-section results; their application to options strategies is an extrapolation and is labelled as such, with the haircut a reviewable configuration rather than a constant).</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6. Functional Requirements — Backtesting Engine (FR-BT)</w:t>
      </w:r>
    </w:p>
    <w:p>
      <w:pPr>
        <w:spacing w:after="160" w:line="300"/>
      </w:pPr>
      <w:r>
        <w:rPr>
          <w:sz w:val="22"/>
          <w:szCs w:val="22"/>
        </w:rPr>
        <w:t xml:space="preserve">For Indian options the difference between a naive and an honest backtest is frequently the difference between an apparent edge and none. The engine must model the full Indian cost stack point-in-time, realistic fills, European cash settlement, and margin so that returns are computed on realistic capital. This revision resolves the cost-model position explicitly against constraint C3 rather than hedging it, adds regulatory-epoch annotation so results are never silently pooled across structural breaks, and adds cost-breakeven and tail-aware headline metrics. Default verification method: test against golden fixture strategies with hand-computed costs and settlements.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FR-BT-01</w:t>
            </w:r>
          </w:p>
        </w:tc>
        <w:tc>
          <w:tcPr>
            <w:tcW w:type="dxa" w:w="6560"/>
            <w:tcMar>
              <w:top w:type="dxa" w:w="60"/>
              <w:left w:type="dxa" w:w="100"/>
              <w:bottom w:type="dxa" w:w="60"/>
              <w:right w:type="dxa" w:w="100"/>
            </w:tcMar>
          </w:tcPr>
          <w:p>
            <w:pPr>
              <w:spacing w:after="0"/>
            </w:pPr>
            <w:r>
              <w:rPr>
                <w:b w:val="false"/>
                <w:bCs w:val="false"/>
                <w:sz w:val="18"/>
                <w:szCs w:val="18"/>
              </w:rPr>
              <w:t xml:space="preserve">Provide an event-driven backtesting engine for multi-leg options strategies driven by registered signals, supporting intraday and positional (multi-day) holding, partial fills, and expiry handling.</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FR-BT-02</w:t>
            </w:r>
          </w:p>
        </w:tc>
        <w:tc>
          <w:tcPr>
            <w:tcW w:type="dxa" w:w="6560"/>
            <w:tcMar>
              <w:top w:type="dxa" w:w="60"/>
              <w:left w:type="dxa" w:w="100"/>
              <w:bottom w:type="dxa" w:w="60"/>
              <w:right w:type="dxa" w:w="100"/>
            </w:tcMar>
          </w:tcPr>
          <w:p>
            <w:pPr>
              <w:spacing w:after="0"/>
            </w:pPr>
            <w:r>
              <w:rPr>
                <w:b w:val="false"/>
                <w:bCs w:val="false"/>
                <w:sz w:val="18"/>
                <w:szCs w:val="18"/>
              </w:rPr>
              <w:t xml:space="preserve">Model the full Indian transaction cost stack as point-in-time configuration: STT (sell-side on premium; intrinsic-value STT on exercised ITM options), brokerage, exchange charges, SEBI turnover fees, GST and stamp duty, each with effective-date history so multi-year backtests apply the rates in force at the time.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FR-BT-03</w:t>
            </w:r>
          </w:p>
        </w:tc>
        <w:tc>
          <w:tcPr>
            <w:tcW w:type="dxa" w:w="6560"/>
            <w:tcMar>
              <w:top w:type="dxa" w:w="60"/>
              <w:left w:type="dxa" w:w="100"/>
              <w:bottom w:type="dxa" w:w="60"/>
              <w:right w:type="dxa" w:w="100"/>
            </w:tcMar>
          </w:tcPr>
          <w:p>
            <w:pPr>
              <w:spacing w:after="0"/>
            </w:pPr>
            <w:r>
              <w:rPr>
                <w:b w:val="false"/>
                <w:bCs w:val="false"/>
                <w:sz w:val="18"/>
                <w:szCs w:val="18"/>
              </w:rPr>
              <w:t xml:space="preserve">(a) If historical bid/ask quote data is available (constraint C3), model slippage as a configurable fraction of the observed spread, scaled by number of legs, order size relative to volume, and volatility regime; never default to mid-price fills. (b) If quote data is not available, the cost model is learned from realised fills, and the platform must implement and document its known limitations: a stated prior for never-traded strategies (cold start and circularity); recognition that fills-only calibration cannot see the opportunity cost of unfilled orders; a reference-price policy acknowledging stale last-trades at illiquid strikes; minimum-sample floors per (moneyness × time-of-day × size) cell with shrinkage toward the prior below the floor; and a bias statement that fills embed the adverse selection and regimes of already-traded behaviour. Position (b) carries a revisit clause: if quote data later becomes available, (a) supersedes and the fills-based model becomes a validation input.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FR-BT-04</w:t>
            </w:r>
          </w:p>
        </w:tc>
        <w:tc>
          <w:tcPr>
            <w:tcW w:type="dxa" w:w="6560"/>
            <w:tcMar>
              <w:top w:type="dxa" w:w="60"/>
              <w:left w:type="dxa" w:w="100"/>
              <w:bottom w:type="dxa" w:w="60"/>
              <w:right w:type="dxa" w:w="100"/>
            </w:tcMar>
          </w:tcPr>
          <w:p>
            <w:pPr>
              <w:spacing w:after="0"/>
            </w:pPr>
            <w:r>
              <w:rPr>
                <w:b w:val="false"/>
                <w:bCs w:val="false"/>
                <w:sz w:val="18"/>
                <w:szCs w:val="18"/>
              </w:rPr>
              <w:t xml:space="preserve">Model expiry correctly for NSE/BSE index options: European exercise, cash settlement against the official closing value, OTM legs expiring worthless; model physical settlement rules for stock derivatives where applicable.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FR-BT-05</w:t>
            </w:r>
          </w:p>
        </w:tc>
        <w:tc>
          <w:tcPr>
            <w:tcW w:type="dxa" w:w="6560"/>
            <w:tcMar>
              <w:top w:type="dxa" w:w="60"/>
              <w:left w:type="dxa" w:w="100"/>
              <w:bottom w:type="dxa" w:w="60"/>
              <w:right w:type="dxa" w:w="100"/>
            </w:tcMar>
          </w:tcPr>
          <w:p>
            <w:pPr>
              <w:spacing w:after="0"/>
            </w:pPr>
            <w:r>
              <w:rPr>
                <w:b w:val="false"/>
                <w:bCs w:val="false"/>
                <w:sz w:val="18"/>
                <w:szCs w:val="18"/>
              </w:rPr>
              <w:t xml:space="preserve">Model margin: SPAN/exposure or the exchange-prescribed methodology in force, peak margin rules, expiry-day additional margin on short options where in force, and margin benefit for hedged structures, so capital usage and returns-on-capital are realistic; simulate margin calls on adverse moves.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FR-BT-06</w:t>
            </w:r>
          </w:p>
        </w:tc>
        <w:tc>
          <w:tcPr>
            <w:tcW w:type="dxa" w:w="6560"/>
            <w:tcMar>
              <w:top w:type="dxa" w:w="60"/>
              <w:left w:type="dxa" w:w="100"/>
              <w:bottom w:type="dxa" w:w="60"/>
              <w:right w:type="dxa" w:w="100"/>
            </w:tcMar>
          </w:tcPr>
          <w:p>
            <w:pPr>
              <w:spacing w:after="0"/>
            </w:pPr>
            <w:r>
              <w:rPr>
                <w:b w:val="false"/>
                <w:bCs w:val="false"/>
                <w:sz w:val="18"/>
                <w:szCs w:val="18"/>
              </w:rPr>
              <w:t xml:space="preserve">Every backtest run records: signal version, parameter set, data snapshot id, cost configuration and engine version, and is exactly reproducible from those identifiers.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FR-BT-07</w:t>
            </w:r>
          </w:p>
        </w:tc>
        <w:tc>
          <w:tcPr>
            <w:tcW w:type="dxa" w:w="6560"/>
            <w:tcMar>
              <w:top w:type="dxa" w:w="60"/>
              <w:left w:type="dxa" w:w="100"/>
              <w:bottom w:type="dxa" w:w="60"/>
              <w:right w:type="dxa" w:w="100"/>
            </w:tcMar>
          </w:tcPr>
          <w:p>
            <w:pPr>
              <w:spacing w:after="0"/>
            </w:pPr>
            <w:r>
              <w:rPr>
                <w:b w:val="false"/>
                <w:bCs w:val="false"/>
                <w:sz w:val="18"/>
                <w:szCs w:val="18"/>
              </w:rPr>
              <w:t xml:space="preserve">Report a standard metric set per run: net and gross CAGR, Sharpe (and probabilistic/deflated Sharpe per Section 7), Sortino, max drawdown and duration, win rate, profit factor, turnover, cost drag, margin utilisation, and per-leg fill diagnostics; equity curve and full trade log are persisted.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FR-BT-08</w:t>
            </w:r>
          </w:p>
        </w:tc>
        <w:tc>
          <w:tcPr>
            <w:tcW w:type="dxa" w:w="6560"/>
            <w:tcMar>
              <w:top w:type="dxa" w:w="60"/>
              <w:left w:type="dxa" w:w="100"/>
              <w:bottom w:type="dxa" w:w="60"/>
              <w:right w:type="dxa" w:w="100"/>
            </w:tcMar>
          </w:tcPr>
          <w:p>
            <w:pPr>
              <w:spacing w:after="0"/>
            </w:pPr>
            <w:r>
              <w:rPr>
                <w:b w:val="false"/>
                <w:bCs w:val="false"/>
                <w:sz w:val="18"/>
                <w:szCs w:val="18"/>
              </w:rPr>
              <w:t xml:space="preserve">Support cost/slippage stress: re-evaluate a stored run under perturbed cost and slippage assumptions without re-simulation where possible, to expose fragile edges.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FR-BT-09</w:t>
            </w:r>
          </w:p>
        </w:tc>
        <w:tc>
          <w:tcPr>
            <w:tcW w:type="dxa" w:w="6560"/>
            <w:tcMar>
              <w:top w:type="dxa" w:w="60"/>
              <w:left w:type="dxa" w:w="100"/>
              <w:bottom w:type="dxa" w:w="60"/>
              <w:right w:type="dxa" w:w="100"/>
            </w:tcMar>
          </w:tcPr>
          <w:p>
            <w:pPr>
              <w:spacing w:after="0"/>
            </w:pPr>
            <w:r>
              <w:rPr>
                <w:b w:val="false"/>
                <w:bCs w:val="false"/>
                <w:sz w:val="18"/>
                <w:szCs w:val="18"/>
              </w:rPr>
              <w:t xml:space="preserve">Support parameter sweeps and batch runs on research compute, with all variants logged to the experiment tracker (feeding the trial count used by overfitting statistics).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FR-BT-10</w:t>
            </w:r>
          </w:p>
        </w:tc>
        <w:tc>
          <w:tcPr>
            <w:tcW w:type="dxa" w:w="6560"/>
            <w:tcMar>
              <w:top w:type="dxa" w:w="60"/>
              <w:left w:type="dxa" w:w="100"/>
              <w:bottom w:type="dxa" w:w="60"/>
              <w:right w:type="dxa" w:w="100"/>
            </w:tcMar>
          </w:tcPr>
          <w:p>
            <w:pPr>
              <w:spacing w:after="0"/>
            </w:pPr>
            <w:r>
              <w:rPr>
                <w:b w:val="false"/>
                <w:bCs w:val="false"/>
                <w:sz w:val="18"/>
                <w:szCs w:val="18"/>
              </w:rPr>
              <w:t xml:space="preserve">Support regime-sliced and event-sliced reporting (by volatility regime, trend regime, expiry week, event days) as first-class diagnostics.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FR-BT-11</w:t>
            </w:r>
          </w:p>
        </w:tc>
        <w:tc>
          <w:tcPr>
            <w:tcW w:type="dxa" w:w="6560"/>
            <w:tcMar>
              <w:top w:type="dxa" w:w="60"/>
              <w:left w:type="dxa" w:w="100"/>
              <w:bottom w:type="dxa" w:w="60"/>
              <w:right w:type="dxa" w:w="100"/>
            </w:tcMar>
          </w:tcPr>
          <w:p>
            <w:pPr>
              <w:spacing w:after="0"/>
            </w:pPr>
            <w:r>
              <w:rPr>
                <w:b w:val="false"/>
                <w:bCs w:val="false"/>
                <w:sz w:val="18"/>
                <w:szCs w:val="18"/>
              </w:rPr>
              <w:t xml:space="preserve">Support backtesting on synthetic/resampled data (block bootstrap, Monte Carlo paths from fitted models) as an additional robustness check.</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r>
        <w:tc>
          <w:tcPr>
            <w:tcW w:type="dxa" w:w="1200"/>
            <w:tcMar>
              <w:top w:type="dxa" w:w="60"/>
              <w:left w:type="dxa" w:w="100"/>
              <w:bottom w:type="dxa" w:w="60"/>
              <w:right w:type="dxa" w:w="100"/>
            </w:tcMar>
          </w:tcPr>
          <w:p>
            <w:pPr>
              <w:spacing w:after="0"/>
            </w:pPr>
            <w:r>
              <w:rPr>
                <w:b/>
                <w:bCs/>
                <w:sz w:val="18"/>
                <w:szCs w:val="18"/>
              </w:rPr>
              <w:t xml:space="preserve">FR-BT-12</w:t>
            </w:r>
          </w:p>
        </w:tc>
        <w:tc>
          <w:tcPr>
            <w:tcW w:type="dxa" w:w="6560"/>
            <w:tcMar>
              <w:top w:type="dxa" w:w="60"/>
              <w:left w:type="dxa" w:w="100"/>
              <w:bottom w:type="dxa" w:w="60"/>
              <w:right w:type="dxa" w:w="100"/>
            </w:tcMar>
          </w:tcPr>
          <w:p>
            <w:pPr>
              <w:spacing w:after="0"/>
            </w:pPr>
            <w:r>
              <w:rPr>
                <w:b w:val="false"/>
                <w:bCs w:val="false"/>
                <w:sz w:val="18"/>
                <w:szCs w:val="18"/>
              </w:rPr>
              <w:t xml:space="preserve">Every backtest result is annotated with the regulatory epochs (FR-DATA-16) its window spans, per-epoch sub-results are reported wherever a window crosses an epoch boundary, and pooling across epochs without a recorded justification on the run is barred by default. Day-of-week, expiry-day and DTE-based features are automatically flagged when their window crosses an epoch that changed expiry structure.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FR-BT-13</w:t>
            </w:r>
          </w:p>
        </w:tc>
        <w:tc>
          <w:tcPr>
            <w:tcW w:type="dxa" w:w="6560"/>
            <w:tcMar>
              <w:top w:type="dxa" w:w="60"/>
              <w:left w:type="dxa" w:w="100"/>
              <w:bottom w:type="dxa" w:w="60"/>
              <w:right w:type="dxa" w:w="100"/>
            </w:tcMar>
          </w:tcPr>
          <w:p>
            <w:pPr>
              <w:spacing w:after="0"/>
            </w:pPr>
            <w:r>
              <w:rPr>
                <w:b w:val="false"/>
                <w:bCs w:val="false"/>
                <w:sz w:val="18"/>
                <w:szCs w:val="18"/>
              </w:rPr>
              <w:t xml:space="preserve">Report the cost-breakeven multiple as a headline metric: the multiplier on modelled total costs at which the strategy's net expectancy reaches zero. Strategies below a configurable multiple (initial value 2×) are flagged as cost-fragile at gate evaluation.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FR-BT-14</w:t>
            </w:r>
          </w:p>
        </w:tc>
        <w:tc>
          <w:tcPr>
            <w:tcW w:type="dxa" w:w="6560"/>
            <w:tcMar>
              <w:top w:type="dxa" w:w="60"/>
              <w:left w:type="dxa" w:w="100"/>
              <w:bottom w:type="dxa" w:w="60"/>
              <w:right w:type="dxa" w:w="100"/>
            </w:tcMar>
          </w:tcPr>
          <w:p>
            <w:pPr>
              <w:spacing w:after="0"/>
            </w:pPr>
            <w:r>
              <w:rPr>
                <w:b w:val="false"/>
                <w:bCs w:val="false"/>
                <w:sz w:val="18"/>
                <w:szCs w:val="18"/>
              </w:rPr>
              <w:t xml:space="preserve">For negatively-skewed strategies (short-premium structures in particular), headline reporting must include tail-aware metrics — CVaR/expected shortfall at configurable confidence, worst-N-day P&amp;L, and skewness/kurtosis of returns — so that Sharpe-type ratios cannot be the sole basis of a promotion decision.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7. Functional Requirements — Validation &amp; Anti-Overfitting (FR-VAL)</w:t>
      </w:r>
    </w:p>
    <w:p>
      <w:pPr>
        <w:spacing w:after="160" w:line="300"/>
      </w:pPr>
      <w:r>
        <w:rPr>
          <w:sz w:val="22"/>
          <w:szCs w:val="22"/>
        </w:rPr>
        <w:t xml:space="preserve">This module is the platform's scientific conscience: high simulated performance is easily achieved after trying relatively few configurations, and overfitted strategies systematically underperform out of sample. Walk-forward analysis is the baseline; combinatorial purged cross-validation prevents leakage from overlapping labels and serial correlation; the Deflated Sharpe Ratio corrects the headline Sharpe for trials, non-normality and selection bias; and the Probability of Backtest Overfitting quantifies how likely the selected configuration is a fluke. This revision adds three controls the review correctly demanded: gate thresholds are locked before results are visible (the discipline FR-FWD-03 already applied to forward tests, now applied to the statistical gates themselves); multiple-testing corrections across a search family; and computable minimum sample lengths. On significance hurdles, the literature is genuinely unsettled — one influential line argues newly discovered effects should clear a far higher bar than convention, and a substantial rebuttal argues such hurdles are over-restrictive — so the platform ships both stances as named presets and forces the choice before results are visible rather than embedding one silently. Default verification method: test against synthetic strategies with known properties (a known-overfit generator the gates must reject, a known-genuine generator they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FR-VAL-01</w:t>
            </w:r>
          </w:p>
        </w:tc>
        <w:tc>
          <w:tcPr>
            <w:tcW w:type="dxa" w:w="6560"/>
            <w:tcMar>
              <w:top w:type="dxa" w:w="60"/>
              <w:left w:type="dxa" w:w="100"/>
              <w:bottom w:type="dxa" w:w="60"/>
              <w:right w:type="dxa" w:w="100"/>
            </w:tcMar>
          </w:tcPr>
          <w:p>
            <w:pPr>
              <w:spacing w:after="0"/>
            </w:pPr>
            <w:r>
              <w:rPr>
                <w:b w:val="false"/>
                <w:bCs w:val="false"/>
                <w:sz w:val="18"/>
                <w:szCs w:val="18"/>
              </w:rPr>
              <w:t xml:space="preserve">Provide walk-forward validation as a standard service: rolling train/test windows with re-optimisation, aggregate out-of-sample statistics, and parameter-stability diagnostics across windows.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FR-VAL-02</w:t>
            </w:r>
          </w:p>
        </w:tc>
        <w:tc>
          <w:tcPr>
            <w:tcW w:type="dxa" w:w="6560"/>
            <w:tcMar>
              <w:top w:type="dxa" w:w="60"/>
              <w:left w:type="dxa" w:w="100"/>
              <w:bottom w:type="dxa" w:w="60"/>
              <w:right w:type="dxa" w:w="100"/>
            </w:tcMar>
          </w:tcPr>
          <w:p>
            <w:pPr>
              <w:spacing w:after="0"/>
            </w:pPr>
            <w:r>
              <w:rPr>
                <w:b w:val="false"/>
                <w:bCs w:val="false"/>
                <w:sz w:val="18"/>
                <w:szCs w:val="18"/>
              </w:rPr>
              <w:t xml:space="preserve">Provide purged k-fold and combinatorial purged cross-validation with configurable purge and embargo periods, generating multiple backtest paths and reporting the distribution of out-of-sample performance rather than a single number.</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FR-VAL-03</w:t>
            </w:r>
          </w:p>
        </w:tc>
        <w:tc>
          <w:tcPr>
            <w:tcW w:type="dxa" w:w="6560"/>
            <w:tcMar>
              <w:top w:type="dxa" w:w="60"/>
              <w:left w:type="dxa" w:w="100"/>
              <w:bottom w:type="dxa" w:w="60"/>
              <w:right w:type="dxa" w:w="100"/>
            </w:tcMar>
          </w:tcPr>
          <w:p>
            <w:pPr>
              <w:spacing w:after="0"/>
            </w:pPr>
            <w:r>
              <w:rPr>
                <w:b w:val="false"/>
                <w:bCs w:val="false"/>
                <w:sz w:val="18"/>
                <w:szCs w:val="18"/>
              </w:rPr>
              <w:t xml:space="preserve">Compute the Deflated Sharpe Ratio for every candidate signal, using the platform-recorded trial count (all logged experiment variants for the hypothesis, per FR-RES-09) as the number of trials — the researcher cannot self-report a smaller number. Every DSR report carries the lower-bound annotation defined in FR-RES-09(c).</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FR-VAL-04</w:t>
            </w:r>
          </w:p>
        </w:tc>
        <w:tc>
          <w:tcPr>
            <w:tcW w:type="dxa" w:w="6560"/>
            <w:tcMar>
              <w:top w:type="dxa" w:w="60"/>
              <w:left w:type="dxa" w:w="100"/>
              <w:bottom w:type="dxa" w:w="60"/>
              <w:right w:type="dxa" w:w="100"/>
            </w:tcMar>
          </w:tcPr>
          <w:p>
            <w:pPr>
              <w:spacing w:after="0"/>
            </w:pPr>
            <w:r>
              <w:rPr>
                <w:b w:val="false"/>
                <w:bCs w:val="false"/>
                <w:sz w:val="18"/>
                <w:szCs w:val="18"/>
              </w:rPr>
              <w:t xml:space="preserve">Compute the Probability of Backtest Overfitting for every promotion candidate and enforce a configurable maximum as a hard promotion gate.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FR-VAL-05</w:t>
            </w:r>
          </w:p>
        </w:tc>
        <w:tc>
          <w:tcPr>
            <w:tcW w:type="dxa" w:w="6560"/>
            <w:tcMar>
              <w:top w:type="dxa" w:w="60"/>
              <w:left w:type="dxa" w:w="100"/>
              <w:bottom w:type="dxa" w:w="60"/>
              <w:right w:type="dxa" w:w="100"/>
            </w:tcMar>
          </w:tcPr>
          <w:p>
            <w:pPr>
              <w:spacing w:after="0"/>
            </w:pPr>
            <w:r>
              <w:rPr>
                <w:b w:val="false"/>
                <w:bCs w:val="false"/>
                <w:sz w:val="18"/>
                <w:szCs w:val="18"/>
              </w:rPr>
              <w:t xml:space="preserve">Enforce validation as pipeline gates: a signal cannot enter forward testing without passing the configured walk-forward/CPCV, DSR and PBO thresholds, and the gate configuration itself is versioned.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FR-VAL-06</w:t>
            </w:r>
          </w:p>
        </w:tc>
        <w:tc>
          <w:tcPr>
            <w:tcW w:type="dxa" w:w="6560"/>
            <w:tcMar>
              <w:top w:type="dxa" w:w="60"/>
              <w:left w:type="dxa" w:w="100"/>
              <w:bottom w:type="dxa" w:w="60"/>
              <w:right w:type="dxa" w:w="100"/>
            </w:tcMar>
          </w:tcPr>
          <w:p>
            <w:pPr>
              <w:spacing w:after="0"/>
            </w:pPr>
            <w:r>
              <w:rPr>
                <w:b w:val="false"/>
                <w:bCs w:val="false"/>
                <w:sz w:val="18"/>
                <w:szCs w:val="18"/>
              </w:rPr>
              <w:t xml:space="preserve">Support dependence-aware statistical comparison of strategies (e.g. bootstrap tests for Sharpe differences) so that "improvement" claims between signal versions are statistically grounded.</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FR-VAL-07</w:t>
            </w:r>
          </w:p>
        </w:tc>
        <w:tc>
          <w:tcPr>
            <w:tcW w:type="dxa" w:w="6560"/>
            <w:tcMar>
              <w:top w:type="dxa" w:w="60"/>
              <w:left w:type="dxa" w:w="100"/>
              <w:bottom w:type="dxa" w:w="60"/>
              <w:right w:type="dxa" w:w="100"/>
            </w:tcMar>
          </w:tcPr>
          <w:p>
            <w:pPr>
              <w:spacing w:after="0"/>
            </w:pPr>
            <w:r>
              <w:rPr>
                <w:b w:val="false"/>
                <w:bCs w:val="false"/>
                <w:sz w:val="18"/>
                <w:szCs w:val="18"/>
              </w:rPr>
              <w:t xml:space="preserve">Provide sensitivity/ablation tooling: performance by feature ablation, by parameter perturbation, by subsample, and transaction-cost sensitivity, rendered into the standard research report.</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FR-VAL-08</w:t>
            </w:r>
          </w:p>
        </w:tc>
        <w:tc>
          <w:tcPr>
            <w:tcW w:type="dxa" w:w="6560"/>
            <w:tcMar>
              <w:top w:type="dxa" w:w="60"/>
              <w:left w:type="dxa" w:w="100"/>
              <w:bottom w:type="dxa" w:w="60"/>
              <w:right w:type="dxa" w:w="100"/>
            </w:tcMar>
          </w:tcPr>
          <w:p>
            <w:pPr>
              <w:spacing w:after="0"/>
            </w:pPr>
            <w:r>
              <w:rPr>
                <w:b w:val="false"/>
                <w:bCs w:val="false"/>
                <w:sz w:val="18"/>
                <w:szCs w:val="18"/>
              </w:rPr>
              <w:t xml:space="preserve">Detect and warn on common leakage patterns automatically (features referencing future timestamps, labels overlapping test windows, use of revised rather than point-in-time data). The detector ships with a negative control suite of known-clean pipelines on which it must not fire.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FR-VAL-09</w:t>
            </w:r>
          </w:p>
        </w:tc>
        <w:tc>
          <w:tcPr>
            <w:tcW w:type="dxa" w:w="6560"/>
            <w:tcMar>
              <w:top w:type="dxa" w:w="60"/>
              <w:left w:type="dxa" w:w="100"/>
              <w:bottom w:type="dxa" w:w="60"/>
              <w:right w:type="dxa" w:w="100"/>
            </w:tcMar>
          </w:tcPr>
          <w:p>
            <w:pPr>
              <w:spacing w:after="0"/>
            </w:pPr>
            <w:r>
              <w:rPr>
                <w:b w:val="false"/>
                <w:bCs w:val="false"/>
                <w:sz w:val="18"/>
                <w:szCs w:val="18"/>
              </w:rPr>
              <w:t xml:space="preserve">Gate thresholds are locked per hypothesis before any gated result is visible: the threshold set (DSR minimum, PBO maximum, hurdle preset, haircuts) is recorded against the hypothesis id at evaluation-plan time, and changing thresholds after results exist requires opening a new, linked hypothesis record — the old record and its outcome remain. Hurdle presets ship in at least two named stances (conservative high-hurdle; FDR-bounded conventional) and the preset choice is part of the locked configuration.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FR-VAL-10</w:t>
            </w:r>
          </w:p>
        </w:tc>
        <w:tc>
          <w:tcPr>
            <w:tcW w:type="dxa" w:w="6560"/>
            <w:tcMar>
              <w:top w:type="dxa" w:w="60"/>
              <w:left w:type="dxa" w:w="100"/>
              <w:bottom w:type="dxa" w:w="60"/>
              <w:right w:type="dxa" w:w="100"/>
            </w:tcMar>
          </w:tcPr>
          <w:p>
            <w:pPr>
              <w:spacing w:after="0"/>
            </w:pPr>
            <w:r>
              <w:rPr>
                <w:b w:val="false"/>
                <w:bCs w:val="false"/>
                <w:sz w:val="18"/>
                <w:szCs w:val="18"/>
              </w:rPr>
              <w:t xml:space="preserve">Apply multiple-testing correction across a declared search family: when a hypothesis sweeps configurations, report family-corrected significance (Bonferroni/Holm and Benjamini–Hochberg–Yekutieli variants) and a haircut Sharpe alongside per-configuration statistics.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FR-VAL-11</w:t>
            </w:r>
          </w:p>
        </w:tc>
        <w:tc>
          <w:tcPr>
            <w:tcW w:type="dxa" w:w="6560"/>
            <w:tcMar>
              <w:top w:type="dxa" w:w="60"/>
              <w:left w:type="dxa" w:w="100"/>
              <w:bottom w:type="dxa" w:w="60"/>
              <w:right w:type="dxa" w:w="100"/>
            </w:tcMar>
          </w:tcPr>
          <w:p>
            <w:pPr>
              <w:spacing w:after="0"/>
            </w:pPr>
            <w:r>
              <w:rPr>
                <w:b w:val="false"/>
                <w:bCs w:val="false"/>
                <w:sz w:val="18"/>
                <w:szCs w:val="18"/>
              </w:rPr>
              <w:t xml:space="preserve">Compute and enforce the minimum backtest length implied by the recorded trial count (and correspondingly the minimum track-record length for live evaluation): a candidate whose backtest window is shorter than the computed minimum for its trial count cannot pass the gate, because an apparently significant result is then expected by chance.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8. Functional Requirements — Capital, Sizing &amp; Capacity (FR-CAP)</w:t>
      </w:r>
    </w:p>
    <w:p>
      <w:pPr>
        <w:spacing w:after="160" w:line="300"/>
      </w:pPr>
      <w:r>
        <w:rPr>
          <w:sz w:val="22"/>
          <w:szCs w:val="22"/>
        </w:rPr>
        <w:t xml:space="preserve">New module in this revision. Sizing was previously implicit behind "execution scope", but how much to trade is a research question — at mid-frequency, sizing errors dominate outcomes — and capacity is where a fills-calibrated cost model is weakest: it prices a trade but never caps it. Runtime enforcement of limits remains xman's job; researching, validating and versioning the policies that xman enforces is this platform's job. Default verification method: analysis plus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FR-CAP-01</w:t>
            </w:r>
          </w:p>
        </w:tc>
        <w:tc>
          <w:tcPr>
            <w:tcW w:type="dxa" w:w="6560"/>
            <w:tcMar>
              <w:top w:type="dxa" w:w="60"/>
              <w:left w:type="dxa" w:w="100"/>
              <w:bottom w:type="dxa" w:w="60"/>
              <w:right w:type="dxa" w:w="100"/>
            </w:tcMar>
          </w:tcPr>
          <w:p>
            <w:pPr>
              <w:spacing w:after="0"/>
            </w:pPr>
            <w:r>
              <w:rPr>
                <w:b w:val="false"/>
                <w:bCs w:val="false"/>
                <w:sz w:val="18"/>
                <w:szCs w:val="18"/>
              </w:rPr>
              <w:t xml:space="preserve">Return on margin capital is the platform's primary return metric wherever margin is the binding capital constraint; all gate evaluations and dashboards use it consistently with FR-BT-05.</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FR-CAP-02</w:t>
            </w:r>
          </w:p>
        </w:tc>
        <w:tc>
          <w:tcPr>
            <w:tcW w:type="dxa" w:w="6560"/>
            <w:tcMar>
              <w:top w:type="dxa" w:w="60"/>
              <w:left w:type="dxa" w:w="100"/>
              <w:bottom w:type="dxa" w:w="60"/>
              <w:right w:type="dxa" w:w="100"/>
            </w:tcMar>
          </w:tcPr>
          <w:p>
            <w:pPr>
              <w:spacing w:after="0"/>
            </w:pPr>
            <w:r>
              <w:rPr>
                <w:b w:val="false"/>
                <w:bCs w:val="false"/>
                <w:sz w:val="18"/>
                <w:szCs w:val="18"/>
              </w:rPr>
              <w:t xml:space="preserve">Sizing policy is a first-class, versioned research artefact: per-signal sizing rules (fixed-fractional, volatility-targeted, Kelly-fraction-capped or otherwise) are defined as code, backtested jointly with the signal, and pass the same validation gates before promotion.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FR-CAP-03</w:t>
            </w:r>
          </w:p>
        </w:tc>
        <w:tc>
          <w:tcPr>
            <w:tcW w:type="dxa" w:w="6560"/>
            <w:tcMar>
              <w:top w:type="dxa" w:w="60"/>
              <w:left w:type="dxa" w:w="100"/>
              <w:bottom w:type="dxa" w:w="60"/>
              <w:right w:type="dxa" w:w="100"/>
            </w:tcMar>
          </w:tcPr>
          <w:p>
            <w:pPr>
              <w:spacing w:after="0"/>
            </w:pPr>
            <w:r>
              <w:rPr>
                <w:b w:val="false"/>
                <w:bCs w:val="false"/>
                <w:sz w:val="18"/>
                <w:szCs w:val="18"/>
              </w:rPr>
              <w:t xml:space="preserve">Maintain a portfolio risk budget as configuration: portfolio maximum loss, per-signal capital allocation bands, and concentration limits (per underlying, per expiry, per direction), against which every candidate promotion is checked for incremental portfolio impact.</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FR-CAP-04</w:t>
            </w:r>
          </w:p>
        </w:tc>
        <w:tc>
          <w:tcPr>
            <w:tcW w:type="dxa" w:w="6560"/>
            <w:tcMar>
              <w:top w:type="dxa" w:w="60"/>
              <w:left w:type="dxa" w:w="100"/>
              <w:bottom w:type="dxa" w:w="60"/>
              <w:right w:type="dxa" w:w="100"/>
            </w:tcMar>
          </w:tcPr>
          <w:p>
            <w:pPr>
              <w:spacing w:after="0"/>
            </w:pPr>
            <w:r>
              <w:rPr>
                <w:b w:val="false"/>
                <w:bCs w:val="false"/>
                <w:sz w:val="18"/>
                <w:szCs w:val="18"/>
              </w:rPr>
              <w:t xml:space="preserve">Enforce participation caps in simulation and in emitted size hints: order size limited to a configurable fraction of contract traded volume and open interest at the strike (initial value 5% of ADV), so backtests cannot assume liquidity that was not there and live sizing cannot exceed it.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FR-CAP-05</w:t>
            </w:r>
          </w:p>
        </w:tc>
        <w:tc>
          <w:tcPr>
            <w:tcW w:type="dxa" w:w="6560"/>
            <w:tcMar>
              <w:top w:type="dxa" w:w="60"/>
              <w:left w:type="dxa" w:w="100"/>
              <w:bottom w:type="dxa" w:w="60"/>
              <w:right w:type="dxa" w:w="100"/>
            </w:tcMar>
          </w:tcPr>
          <w:p>
            <w:pPr>
              <w:spacing w:after="0"/>
            </w:pPr>
            <w:r>
              <w:rPr>
                <w:b w:val="false"/>
                <w:bCs w:val="false"/>
                <w:sz w:val="18"/>
                <w:szCs w:val="18"/>
              </w:rPr>
              <w:t xml:space="preserve">Produce a per-signal capacity estimate at promotion: the capital level at which modelled cost and participation constraints erode the edge below a configured floor, recorded in the registry and re-estimated on cost-model recalibration (FR-FB-02).</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FR-CAP-06</w:t>
            </w:r>
          </w:p>
        </w:tc>
        <w:tc>
          <w:tcPr>
            <w:tcW w:type="dxa" w:w="6560"/>
            <w:tcMar>
              <w:top w:type="dxa" w:w="60"/>
              <w:left w:type="dxa" w:w="100"/>
              <w:bottom w:type="dxa" w:w="60"/>
              <w:right w:type="dxa" w:w="100"/>
            </w:tcMar>
          </w:tcPr>
          <w:p>
            <w:pPr>
              <w:spacing w:after="0"/>
            </w:pPr>
            <w:r>
              <w:rPr>
                <w:b w:val="false"/>
                <w:bCs w:val="false"/>
                <w:sz w:val="18"/>
                <w:szCs w:val="18"/>
              </w:rPr>
              <w:t xml:space="preserve">Scenario-based portfolio stress: evaluate the combined live signal book under defined shock scenarios (gap moves, vol spikes, expiry-day stress), reported alongside the FR-MON-07 dashboard.</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bl>
    <w:p>
      <w:pPr>
        <w:pStyle w:val="Heading1"/>
        <w:spacing w:after="200" w:before="360"/>
      </w:pPr>
      <w:r>
        <w:t xml:space="preserve">9. Functional Requirements — Forward Testing (FR-FWD)</w:t>
      </w:r>
    </w:p>
    <w:p>
      <w:pPr>
        <w:spacing w:after="160" w:line="300"/>
      </w:pPr>
      <w:r>
        <w:rPr>
          <w:sz w:val="22"/>
          <w:szCs w:val="22"/>
        </w:rPr>
        <w:t xml:space="preserve">Forward (paper) testing is the bridge between validated backtest and capital. Its purpose is to verify that the signal behaves in live conditions as the backtest predicted: fills near modelled slippage, trigger frequency near expectation, features computed identically. Default verification method: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FR-FWD-01</w:t>
            </w:r>
          </w:p>
        </w:tc>
        <w:tc>
          <w:tcPr>
            <w:tcW w:type="dxa" w:w="6560"/>
            <w:tcMar>
              <w:top w:type="dxa" w:w="60"/>
              <w:left w:type="dxa" w:w="100"/>
              <w:bottom w:type="dxa" w:w="60"/>
              <w:right w:type="dxa" w:w="100"/>
            </w:tcMar>
          </w:tcPr>
          <w:p>
            <w:pPr>
              <w:spacing w:after="0"/>
            </w:pPr>
            <w:r>
              <w:rPr>
                <w:b w:val="false"/>
                <w:bCs w:val="false"/>
                <w:sz w:val="18"/>
                <w:szCs w:val="18"/>
              </w:rPr>
              <w:t xml:space="preserve">Run any registered signal version in paper mode against live market data, generating simulated orders and fills using the same cost/slippage model as the backtester, with results stored alongside backtest results for the same version.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FR-FWD-02</w:t>
            </w:r>
          </w:p>
        </w:tc>
        <w:tc>
          <w:tcPr>
            <w:tcW w:type="dxa" w:w="6560"/>
            <w:tcMar>
              <w:top w:type="dxa" w:w="60"/>
              <w:left w:type="dxa" w:w="100"/>
              <w:bottom w:type="dxa" w:w="60"/>
              <w:right w:type="dxa" w:w="100"/>
            </w:tcMar>
          </w:tcPr>
          <w:p>
            <w:pPr>
              <w:spacing w:after="0"/>
            </w:pPr>
            <w:r>
              <w:rPr>
                <w:b w:val="false"/>
                <w:bCs w:val="false"/>
                <w:sz w:val="18"/>
                <w:szCs w:val="18"/>
              </w:rPr>
              <w:t xml:space="preserve">Continuously compare paper results to backtest expectations for the same period: trigger counts, distribution of returns per trade, realised vs. modelled slippage, and feature-value agreement between the research and live computation paths; deviations beyond configured tolerances raise alerts.</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FR-FWD-03</w:t>
            </w:r>
          </w:p>
        </w:tc>
        <w:tc>
          <w:tcPr>
            <w:tcW w:type="dxa" w:w="6560"/>
            <w:tcMar>
              <w:top w:type="dxa" w:w="60"/>
              <w:left w:type="dxa" w:w="100"/>
              <w:bottom w:type="dxa" w:w="60"/>
              <w:right w:type="dxa" w:w="100"/>
            </w:tcMar>
          </w:tcPr>
          <w:p>
            <w:pPr>
              <w:spacing w:after="0"/>
            </w:pPr>
            <w:r>
              <w:rPr>
                <w:b w:val="false"/>
                <w:bCs w:val="false"/>
                <w:sz w:val="18"/>
                <w:szCs w:val="18"/>
              </w:rPr>
              <w:t xml:space="preserve">Define per-signal forward-test plans: minimum duration and/or trade count and promotion criteria recorded before the test starts, so the promotion decision is pre-registered rather than post-hoc.</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FR-FWD-04</w:t>
            </w:r>
          </w:p>
        </w:tc>
        <w:tc>
          <w:tcPr>
            <w:tcW w:type="dxa" w:w="6560"/>
            <w:tcMar>
              <w:top w:type="dxa" w:w="60"/>
              <w:left w:type="dxa" w:w="100"/>
              <w:bottom w:type="dxa" w:w="60"/>
              <w:right w:type="dxa" w:w="100"/>
            </w:tcMar>
          </w:tcPr>
          <w:p>
            <w:pPr>
              <w:spacing w:after="0"/>
            </w:pPr>
            <w:r>
              <w:rPr>
                <w:b w:val="false"/>
                <w:bCs w:val="false"/>
                <w:sz w:val="18"/>
                <w:szCs w:val="18"/>
              </w:rPr>
              <w:t xml:space="preserve">Support champion/challenger operation: a challenger signal version runs in paper mode alongside the production champion on identical inputs, with side-by-side attribution.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FR-FWD-05</w:t>
            </w:r>
          </w:p>
        </w:tc>
        <w:tc>
          <w:tcPr>
            <w:tcW w:type="dxa" w:w="6560"/>
            <w:tcMar>
              <w:top w:type="dxa" w:w="60"/>
              <w:left w:type="dxa" w:w="100"/>
              <w:bottom w:type="dxa" w:w="60"/>
              <w:right w:type="dxa" w:w="100"/>
            </w:tcMar>
          </w:tcPr>
          <w:p>
            <w:pPr>
              <w:spacing w:after="0"/>
            </w:pPr>
            <w:r>
              <w:rPr>
                <w:b w:val="false"/>
                <w:bCs w:val="false"/>
                <w:sz w:val="18"/>
                <w:szCs w:val="18"/>
              </w:rPr>
              <w:t xml:space="preserve">Optionally support small-size live pilot (limited capital) as a final stage before full promotion, using the xman execution interface, with automatic size caps per FR-CAP-04.</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bl>
    <w:p>
      <w:pPr>
        <w:pStyle w:val="Heading1"/>
        <w:spacing w:after="200" w:before="360"/>
      </w:pPr>
      <w:r>
        <w:t xml:space="preserve">10. Functional Requirements — Versioning, SDLC &amp; Deployment (FR-DEP)</w:t>
      </w:r>
    </w:p>
    <w:p>
      <w:pPr>
        <w:spacing w:after="160" w:line="300"/>
      </w:pPr>
      <w:r>
        <w:rPr>
          <w:sz w:val="22"/>
          <w:szCs w:val="22"/>
        </w:rPr>
        <w:t xml:space="preserve">The platform treats signals as governed software artefacts. The lifecycle is: hypothesis → experiments → candidate → validated → forward test → production → monitored → (improved | retired). Each transition is a gate with recorded evidence; under the single-operator constraint (C1) approvals are self-attestations made meaningful by pre-registration and tamper-evidence rather than by a second approver. Default verification method: test (CI behaviour), inspection (registry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FR-DEP-01</w:t>
            </w:r>
          </w:p>
        </w:tc>
        <w:tc>
          <w:tcPr>
            <w:tcW w:type="dxa" w:w="6560"/>
            <w:tcMar>
              <w:top w:type="dxa" w:w="60"/>
              <w:left w:type="dxa" w:w="100"/>
              <w:bottom w:type="dxa" w:w="60"/>
              <w:right w:type="dxa" w:w="100"/>
            </w:tcMar>
          </w:tcPr>
          <w:p>
            <w:pPr>
              <w:spacing w:after="0"/>
            </w:pPr>
            <w:r>
              <w:rPr>
                <w:b w:val="false"/>
                <w:bCs w:val="false"/>
                <w:sz w:val="18"/>
                <w:szCs w:val="18"/>
              </w:rPr>
              <w:t xml:space="preserve">Maintain a signal lifecycle state machine with the states above; state transitions require the evidence defined for that gate and are recorded immutably with actor and timestamp.</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FR-DEP-02</w:t>
            </w:r>
          </w:p>
        </w:tc>
        <w:tc>
          <w:tcPr>
            <w:tcW w:type="dxa" w:w="6560"/>
            <w:tcMar>
              <w:top w:type="dxa" w:w="60"/>
              <w:left w:type="dxa" w:w="100"/>
              <w:bottom w:type="dxa" w:w="60"/>
              <w:right w:type="dxa" w:w="100"/>
            </w:tcMar>
          </w:tcPr>
          <w:p>
            <w:pPr>
              <w:spacing w:after="0"/>
            </w:pPr>
            <w:r>
              <w:rPr>
                <w:b w:val="false"/>
                <w:bCs w:val="false"/>
                <w:sz w:val="18"/>
                <w:szCs w:val="18"/>
              </w:rPr>
              <w:t xml:space="preserve">Continuous integration for signal repositories: on every commit, run unit tests, a reference backtest on a pinned snapshot, and reproducibility checks (same inputs, identical outputs); merges are blocked on failure.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FR-DEP-03</w:t>
            </w:r>
          </w:p>
        </w:tc>
        <w:tc>
          <w:tcPr>
            <w:tcW w:type="dxa" w:w="6560"/>
            <w:tcMar>
              <w:top w:type="dxa" w:w="60"/>
              <w:left w:type="dxa" w:w="100"/>
              <w:bottom w:type="dxa" w:w="60"/>
              <w:right w:type="dxa" w:w="100"/>
            </w:tcMar>
          </w:tcPr>
          <w:p>
            <w:pPr>
              <w:spacing w:after="0"/>
            </w:pPr>
            <w:r>
              <w:rPr>
                <w:b w:val="false"/>
                <w:bCs w:val="false"/>
                <w:sz w:val="18"/>
                <w:szCs w:val="18"/>
              </w:rPr>
              <w:t xml:space="preserve">Deployment to production is by promotion of an immutable, registry-identified artefact (no hot-edited code paths); the production environment records exactly which signal versions are live at any moment.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FR-DEP-04</w:t>
            </w:r>
          </w:p>
        </w:tc>
        <w:tc>
          <w:tcPr>
            <w:tcW w:type="dxa" w:w="6560"/>
            <w:tcMar>
              <w:top w:type="dxa" w:w="60"/>
              <w:left w:type="dxa" w:w="100"/>
              <w:bottom w:type="dxa" w:w="60"/>
              <w:right w:type="dxa" w:w="100"/>
            </w:tcMar>
          </w:tcPr>
          <w:p>
            <w:pPr>
              <w:spacing w:after="0"/>
            </w:pPr>
            <w:r>
              <w:rPr>
                <w:b w:val="false"/>
                <w:bCs w:val="false"/>
                <w:sz w:val="18"/>
                <w:szCs w:val="18"/>
              </w:rPr>
              <w:t xml:space="preserve">Support instant rollback to the previous production version of any signal, and a global kill-switch that halts all signal emission to xman.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FR-DEP-05</w:t>
            </w:r>
          </w:p>
        </w:tc>
        <w:tc>
          <w:tcPr>
            <w:tcW w:type="dxa" w:w="6560"/>
            <w:tcMar>
              <w:top w:type="dxa" w:w="60"/>
              <w:left w:type="dxa" w:w="100"/>
              <w:bottom w:type="dxa" w:w="60"/>
              <w:right w:type="dxa" w:w="100"/>
            </w:tcMar>
          </w:tcPr>
          <w:p>
            <w:pPr>
              <w:spacing w:after="0"/>
            </w:pPr>
            <w:r>
              <w:rPr>
                <w:b w:val="false"/>
                <w:bCs w:val="false"/>
                <w:sz w:val="18"/>
                <w:szCs w:val="18"/>
              </w:rPr>
              <w:t xml:space="preserve">Environments are explicitly separated (research, staging/paper, production) with configuration as code and no shared mutable state other than the read-only data layer.</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FR-DEP-06</w:t>
            </w:r>
          </w:p>
        </w:tc>
        <w:tc>
          <w:tcPr>
            <w:tcW w:type="dxa" w:w="6560"/>
            <w:tcMar>
              <w:top w:type="dxa" w:w="60"/>
              <w:left w:type="dxa" w:w="100"/>
              <w:bottom w:type="dxa" w:w="60"/>
              <w:right w:type="dxa" w:w="100"/>
            </w:tcMar>
          </w:tcPr>
          <w:p>
            <w:pPr>
              <w:spacing w:after="0"/>
            </w:pPr>
            <w:r>
              <w:rPr>
                <w:b w:val="false"/>
                <w:bCs w:val="false"/>
                <w:sz w:val="18"/>
                <w:szCs w:val="18"/>
              </w:rPr>
              <w:t xml:space="preserve">Every production signal emission (trigger sent toward xman) is logged with the signal version, feature inputs and computed values that produced it, sufficient to replay the decision.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FR-DEP-07</w:t>
            </w:r>
          </w:p>
        </w:tc>
        <w:tc>
          <w:tcPr>
            <w:tcW w:type="dxa" w:w="6560"/>
            <w:tcMar>
              <w:top w:type="dxa" w:w="60"/>
              <w:left w:type="dxa" w:w="100"/>
              <w:bottom w:type="dxa" w:w="60"/>
              <w:right w:type="dxa" w:w="100"/>
            </w:tcMar>
          </w:tcPr>
          <w:p>
            <w:pPr>
              <w:spacing w:after="0"/>
            </w:pPr>
            <w:r>
              <w:rPr>
                <w:b w:val="false"/>
                <w:bCs w:val="false"/>
                <w:sz w:val="18"/>
                <w:szCs w:val="18"/>
              </w:rPr>
              <w:t xml:space="preserve">Scheduled revalidation: production signals are periodically re-run through the validation service on updated data, with results attached to the registry entry.</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FR-DEP-08</w:t>
            </w:r>
          </w:p>
        </w:tc>
        <w:tc>
          <w:tcPr>
            <w:tcW w:type="dxa" w:w="6560"/>
            <w:tcMar>
              <w:top w:type="dxa" w:w="60"/>
              <w:left w:type="dxa" w:w="100"/>
              <w:bottom w:type="dxa" w:w="60"/>
              <w:right w:type="dxa" w:w="100"/>
            </w:tcMar>
          </w:tcPr>
          <w:p>
            <w:pPr>
              <w:spacing w:after="0"/>
            </w:pPr>
            <w:r>
              <w:rPr>
                <w:b w:val="false"/>
                <w:bCs w:val="false"/>
                <w:sz w:val="18"/>
                <w:szCs w:val="18"/>
              </w:rPr>
              <w:t xml:space="preserve">Administrative actions (gate approvals, production deploys, gate-threshold and preset changes) are audit-logged in the tamper-evident record (NFR-08); threshold changes follow the FR-VAL-09 new-hypothesis rule.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11. Functional Requirements — Production Monitoring &amp; Performance (FR-MON)</w:t>
      </w:r>
    </w:p>
    <w:p>
      <w:pPr>
        <w:spacing w:after="160" w:line="300"/>
      </w:pPr>
      <w:r>
        <w:rPr>
          <w:sz w:val="22"/>
          <w:szCs w:val="22"/>
        </w:rPr>
        <w:t xml:space="preserve">Signal decay is the norm: genuine edges attract competition and fade. Monitoring makes decay visible early and distinguishes the two failure classes that must never be confused — technical failure (the pipeline computes something different from research: a bug) and statistical failure (correct implementation, decayed prediction). Because realised P&amp;L is a slow and noisy label, monitoring leads with label-free indicators. This revision adds pre-registered kill criteria: the retirement threshold is recorded at promotion time, before decay makes the decision uncomfortable. Default verification method: test with injected drift/divergence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FR-MON-01</w:t>
            </w:r>
          </w:p>
        </w:tc>
        <w:tc>
          <w:tcPr>
            <w:tcW w:type="dxa" w:w="6560"/>
            <w:tcMar>
              <w:top w:type="dxa" w:w="60"/>
              <w:left w:type="dxa" w:w="100"/>
              <w:bottom w:type="dxa" w:w="60"/>
              <w:right w:type="dxa" w:w="100"/>
            </w:tcMar>
          </w:tcPr>
          <w:p>
            <w:pPr>
              <w:spacing w:after="0"/>
            </w:pPr>
            <w:r>
              <w:rPr>
                <w:b w:val="false"/>
                <w:bCs w:val="false"/>
                <w:sz w:val="18"/>
                <w:szCs w:val="18"/>
              </w:rPr>
              <w:t xml:space="preserve">Track live performance per signal and per strategy: P&amp;L, hit rate, slippage vs. model, turnover, drawdown — attributed to signal version, and always displayed against the backtest/forward-test expectation bands for the same version.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FR-MON-02</w:t>
            </w:r>
          </w:p>
        </w:tc>
        <w:tc>
          <w:tcPr>
            <w:tcW w:type="dxa" w:w="6560"/>
            <w:tcMar>
              <w:top w:type="dxa" w:w="60"/>
              <w:left w:type="dxa" w:w="100"/>
              <w:bottom w:type="dxa" w:w="60"/>
              <w:right w:type="dxa" w:w="100"/>
            </w:tcMar>
          </w:tcPr>
          <w:p>
            <w:pPr>
              <w:spacing w:after="0"/>
            </w:pPr>
            <w:r>
              <w:rPr>
                <w:b w:val="false"/>
                <w:bCs w:val="false"/>
                <w:sz w:val="18"/>
                <w:szCs w:val="18"/>
              </w:rPr>
              <w:t xml:space="preserve">Monitor feature drift: distribution of every production feature versus its research baseline (e.g. PSI/K-S), with alert thresholds; monitor prediction/trigger-frequency drift the same way.</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FR-MON-03</w:t>
            </w:r>
          </w:p>
        </w:tc>
        <w:tc>
          <w:tcPr>
            <w:tcW w:type="dxa" w:w="6560"/>
            <w:tcMar>
              <w:top w:type="dxa" w:w="60"/>
              <w:left w:type="dxa" w:w="100"/>
              <w:bottom w:type="dxa" w:w="60"/>
              <w:right w:type="dxa" w:w="100"/>
            </w:tcMar>
          </w:tcPr>
          <w:p>
            <w:pPr>
              <w:spacing w:after="0"/>
            </w:pPr>
            <w:r>
              <w:rPr>
                <w:b w:val="false"/>
                <w:bCs w:val="false"/>
                <w:sz w:val="18"/>
                <w:szCs w:val="18"/>
              </w:rPr>
              <w:t xml:space="preserve">Detect research/production divergence: periodically recompute production feature values through the research path on the same inputs and alert on disagreement (training/serving skew detection).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FR-MON-04</w:t>
            </w:r>
          </w:p>
        </w:tc>
        <w:tc>
          <w:tcPr>
            <w:tcW w:type="dxa" w:w="6560"/>
            <w:tcMar>
              <w:top w:type="dxa" w:w="60"/>
              <w:left w:type="dxa" w:w="100"/>
              <w:bottom w:type="dxa" w:w="60"/>
              <w:right w:type="dxa" w:w="100"/>
            </w:tcMar>
          </w:tcPr>
          <w:p>
            <w:pPr>
              <w:spacing w:after="0"/>
            </w:pPr>
            <w:r>
              <w:rPr>
                <w:b w:val="false"/>
                <w:bCs w:val="false"/>
                <w:sz w:val="18"/>
                <w:szCs w:val="18"/>
              </w:rPr>
              <w:t xml:space="preserve">Implement decay diagnostics: rolling out-of-sample statistics with change-point detection, and a triage flow with the following minimum structure: every incident is classified technical vs. statistical within a defined SLA, each class has a written playbook (technical: reproduce, bisect, fix, verify parity; statistical: de-risk per FR-MON-05, review against kill criteria, route to research), and every incident record links its classification evidence. Fit criterion: an injected parity-break fixture and an injected decay fixture are each correctly classified by the flow in test.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FR-MON-05</w:t>
            </w:r>
          </w:p>
        </w:tc>
        <w:tc>
          <w:tcPr>
            <w:tcW w:type="dxa" w:w="6560"/>
            <w:tcMar>
              <w:top w:type="dxa" w:w="60"/>
              <w:left w:type="dxa" w:w="100"/>
              <w:bottom w:type="dxa" w:w="60"/>
              <w:right w:type="dxa" w:w="100"/>
            </w:tcMar>
          </w:tcPr>
          <w:p>
            <w:pPr>
              <w:spacing w:after="0"/>
            </w:pPr>
            <w:r>
              <w:rPr>
                <w:b w:val="false"/>
                <w:bCs w:val="false"/>
                <w:sz w:val="18"/>
                <w:szCs w:val="18"/>
              </w:rPr>
              <w:t xml:space="preserve">Automated de-risking rules: configurable conditions (drawdown, drift severity, divergence) under which a signal is automatically demoted from production to paper mode pending review.</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FR-MON-06</w:t>
            </w:r>
          </w:p>
        </w:tc>
        <w:tc>
          <w:tcPr>
            <w:tcW w:type="dxa" w:w="6560"/>
            <w:tcMar>
              <w:top w:type="dxa" w:w="60"/>
              <w:left w:type="dxa" w:w="100"/>
              <w:bottom w:type="dxa" w:w="60"/>
              <w:right w:type="dxa" w:w="100"/>
            </w:tcMar>
          </w:tcPr>
          <w:p>
            <w:pPr>
              <w:spacing w:after="0"/>
            </w:pPr>
            <w:r>
              <w:rPr>
                <w:b w:val="false"/>
                <w:bCs w:val="false"/>
                <w:sz w:val="18"/>
                <w:szCs w:val="18"/>
              </w:rPr>
              <w:t xml:space="preserve">Operational health monitoring of the platform itself: data pipeline freshness/lag, job failures, webhook delivery success, with alerting.</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FR-MON-07</w:t>
            </w:r>
          </w:p>
        </w:tc>
        <w:tc>
          <w:tcPr>
            <w:tcW w:type="dxa" w:w="6560"/>
            <w:tcMar>
              <w:top w:type="dxa" w:w="60"/>
              <w:left w:type="dxa" w:w="100"/>
              <w:bottom w:type="dxa" w:w="60"/>
              <w:right w:type="dxa" w:w="100"/>
            </w:tcMar>
          </w:tcPr>
          <w:p>
            <w:pPr>
              <w:spacing w:after="0"/>
            </w:pPr>
            <w:r>
              <w:rPr>
                <w:b w:val="false"/>
                <w:bCs w:val="false"/>
                <w:sz w:val="18"/>
                <w:szCs w:val="18"/>
              </w:rPr>
              <w:t xml:space="preserve">A performance dashboard covering the whole signal book: per-signal status, live vs. expected, drift state, correlation across live signals, and aggregate exposure of the signal book.</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FR-MON-08</w:t>
            </w:r>
          </w:p>
        </w:tc>
        <w:tc>
          <w:tcPr>
            <w:tcW w:type="dxa" w:w="6560"/>
            <w:tcMar>
              <w:top w:type="dxa" w:w="60"/>
              <w:left w:type="dxa" w:w="100"/>
              <w:bottom w:type="dxa" w:w="60"/>
              <w:right w:type="dxa" w:w="100"/>
            </w:tcMar>
          </w:tcPr>
          <w:p>
            <w:pPr>
              <w:spacing w:after="0"/>
            </w:pPr>
            <w:r>
              <w:rPr>
                <w:b w:val="false"/>
                <w:bCs w:val="false"/>
                <w:sz w:val="18"/>
                <w:szCs w:val="18"/>
              </w:rPr>
              <w:t xml:space="preserve">Post-trade execution analysis fed back from xman fills: realised slippage and fill quality by strike moneyness, time of day and volatility regime, used to recalibrate the backtest slippage model subject to the FR-BT-03(b) minimum-sample and shrinkage rules.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FR-MON-09</w:t>
            </w:r>
          </w:p>
        </w:tc>
        <w:tc>
          <w:tcPr>
            <w:tcW w:type="dxa" w:w="6560"/>
            <w:tcMar>
              <w:top w:type="dxa" w:w="60"/>
              <w:left w:type="dxa" w:w="100"/>
              <w:bottom w:type="dxa" w:w="60"/>
              <w:right w:type="dxa" w:w="100"/>
            </w:tcMar>
          </w:tcPr>
          <w:p>
            <w:pPr>
              <w:spacing w:after="0"/>
            </w:pPr>
            <w:r>
              <w:rPr>
                <w:b w:val="false"/>
                <w:bCs w:val="false"/>
                <w:sz w:val="18"/>
                <w:szCs w:val="18"/>
              </w:rPr>
              <w:t xml:space="preserve">Pre-registered kill criteria: at promotion, every signal records the quantitative conditions under which it will be demoted or retired (e.g. drawdown beyond the backtest-implied bound at a stated confidence, trailing live Sharpe below a floor for a stated window). The criteria are locked with the promotion record; weakening them post-hoc follows the FR-VAL-09 new-hypothesis rule.</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bl>
    <w:p>
      <w:pPr>
        <w:pStyle w:val="Heading1"/>
        <w:spacing w:after="200" w:before="360"/>
      </w:pPr>
      <w:r>
        <w:t xml:space="preserve">12. Functional Requirements — Feedback Loop &amp; Improvement (FR-FB)</w:t>
      </w:r>
    </w:p>
    <w:p>
      <w:pPr>
        <w:spacing w:after="160" w:line="300"/>
      </w:pPr>
      <w:r>
        <w:rPr>
          <w:sz w:val="22"/>
          <w:szCs w:val="22"/>
        </w:rPr>
        <w:t xml:space="preserve">The feedback loop is what makes the platform a research system rather than a deployment system. Production evidence flows back as structured inputs to research. Improvement is governed: a "better" version of a live signal is a new version that must pass the same gates, compared against the incumbent with dependence-aware statistics — no silent in-place tuning of production parameters. Default verification method: inspection of review packs and registry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FR-FB-01</w:t>
            </w:r>
          </w:p>
        </w:tc>
        <w:tc>
          <w:tcPr>
            <w:tcW w:type="dxa" w:w="6560"/>
            <w:tcMar>
              <w:top w:type="dxa" w:w="60"/>
              <w:left w:type="dxa" w:w="100"/>
              <w:bottom w:type="dxa" w:w="60"/>
              <w:right w:type="dxa" w:w="100"/>
            </w:tcMar>
          </w:tcPr>
          <w:p>
            <w:pPr>
              <w:spacing w:after="0"/>
            </w:pPr>
            <w:r>
              <w:rPr>
                <w:b w:val="false"/>
                <w:bCs w:val="false"/>
                <w:sz w:val="18"/>
                <w:szCs w:val="18"/>
              </w:rPr>
              <w:t xml:space="preserve">Every production signal has a periodic (e.g. monthly) automated performance review pack: live vs. expected, drift state, decay statistics, cost-model error — attached to the registry and routed for review.</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FR-FB-02</w:t>
            </w:r>
          </w:p>
        </w:tc>
        <w:tc>
          <w:tcPr>
            <w:tcW w:type="dxa" w:w="6560"/>
            <w:tcMar>
              <w:top w:type="dxa" w:w="60"/>
              <w:left w:type="dxa" w:w="100"/>
              <w:bottom w:type="dxa" w:w="60"/>
              <w:right w:type="dxa" w:w="100"/>
            </w:tcMar>
          </w:tcPr>
          <w:p>
            <w:pPr>
              <w:spacing w:after="0"/>
            </w:pPr>
            <w:r>
              <w:rPr>
                <w:b w:val="false"/>
                <w:bCs w:val="false"/>
                <w:sz w:val="18"/>
                <w:szCs w:val="18"/>
              </w:rPr>
              <w:t xml:space="preserve">Realised execution data continuously recalibrates the backtest cost/slippage model as a new versioned cost configuration (subject to FR-BT-03(b) sample floors and shrinkage), and material recalibrations trigger re-evaluation of affected live signals and capacity estimates (FR-CAP-05).</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FR-FB-03</w:t>
            </w:r>
          </w:p>
        </w:tc>
        <w:tc>
          <w:tcPr>
            <w:tcW w:type="dxa" w:w="6560"/>
            <w:tcMar>
              <w:top w:type="dxa" w:w="60"/>
              <w:left w:type="dxa" w:w="100"/>
              <w:bottom w:type="dxa" w:w="60"/>
              <w:right w:type="dxa" w:w="100"/>
            </w:tcMar>
          </w:tcPr>
          <w:p>
            <w:pPr>
              <w:spacing w:after="0"/>
            </w:pPr>
            <w:r>
              <w:rPr>
                <w:b w:val="false"/>
                <w:bCs w:val="false"/>
                <w:sz w:val="18"/>
                <w:szCs w:val="18"/>
              </w:rPr>
              <w:t xml:space="preserve">Signal improvement is a lifecycle event: a new version references its predecessor, states what changed and why (linked to production evidence), and must beat the incumbent under FR-VAL-06 comparison before replacing it.</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FR-FB-04</w:t>
            </w:r>
          </w:p>
        </w:tc>
        <w:tc>
          <w:tcPr>
            <w:tcW w:type="dxa" w:w="6560"/>
            <w:tcMar>
              <w:top w:type="dxa" w:w="60"/>
              <w:left w:type="dxa" w:w="100"/>
              <w:bottom w:type="dxa" w:w="60"/>
              <w:right w:type="dxa" w:w="100"/>
            </w:tcMar>
          </w:tcPr>
          <w:p>
            <w:pPr>
              <w:spacing w:after="0"/>
            </w:pPr>
            <w:r>
              <w:rPr>
                <w:b w:val="false"/>
                <w:bCs w:val="false"/>
                <w:sz w:val="18"/>
                <w:szCs w:val="18"/>
              </w:rPr>
              <w:t xml:space="preserve">Retirement workflow: decayed signals are retired with a recorded post-mortem (what the edge was, why it faded, whether kill criteria fired as designed), building an institutional memory searchable from the hypothesis registry.</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FR-FB-05</w:t>
            </w:r>
          </w:p>
        </w:tc>
        <w:tc>
          <w:tcPr>
            <w:tcW w:type="dxa" w:w="6560"/>
            <w:tcMar>
              <w:top w:type="dxa" w:w="60"/>
              <w:left w:type="dxa" w:w="100"/>
              <w:bottom w:type="dxa" w:w="60"/>
              <w:right w:type="dxa" w:w="100"/>
            </w:tcMar>
          </w:tcPr>
          <w:p>
            <w:pPr>
              <w:spacing w:after="0"/>
            </w:pPr>
            <w:r>
              <w:rPr>
                <w:b w:val="false"/>
                <w:bCs w:val="false"/>
                <w:sz w:val="18"/>
                <w:szCs w:val="18"/>
              </w:rPr>
              <w:t xml:space="preserve">Portfolio-level feedback: periodic analysis of crowding/correlation across the live signal book, informing which new hypotheses add diversifying value.</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13. Functional Requirements — AI/LLM Integration (FR-AI)</w:t>
      </w:r>
    </w:p>
    <w:p>
      <w:pPr>
        <w:spacing w:after="160" w:line="300"/>
      </w:pPr>
      <w:r>
        <w:rPr>
          <w:sz w:val="22"/>
          <w:szCs w:val="22"/>
        </w:rPr>
        <w:t xml:space="preserve">The 2025–26 research literature (AlphaAgent at KDD '25; RD-Agent(Q); QuantaAlpha; XALPHA; FactorMiner at KDD '26; and related work) converges on a clear pattern: LLM agents materially accelerate hypothesis generation, code implementation and diagnostic work, but fail in predictable ways — overfitting via unlogged search, reward hacking against the backtest metric, and confident claims without evidence. The mitigations are architectural: multi-role agent designs communicating through the structured registry, evidence-bound claims, and regularisation of generated factors for originality and complexity. This revision adds the failure mode the review correctly identified as missing: parametric look-ahead. A model trained after the period being backtested already knows what happened; published work shows backtested LLM-agent performance collapsing once evaluation moves past the model's knowledge window, and the bias is invisible — it produces no error, only a better-looking result. AI-generated signals traverse the same FR-VAL and FR-DEP gates as human-authored ones — the platform grants them no shortcut.</w:t>
      </w:r>
    </w:p>
    <w:p>
      <w:pPr>
        <w:spacing w:after="160" w:line="300"/>
      </w:pPr>
      <w:r>
        <w:rPr>
          <w:sz w:val="22"/>
          <w:szCs w:val="22"/>
        </w:rPr>
        <w:t xml:space="preserve">An open problem is recorded rather than implied settled: no published method yet reconciles machine-scale hypothesis search with Deflated-Sharpe/PBO-style corrections — the corrections assume a countable, honest trial family, and agentic search strains both properties. FR-AI-06's position (log every candidate as a trial) is deliberately conservative and is a stance taken in the absence of established practice; it should be revisited as the literature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FR-AI-01</w:t>
            </w:r>
          </w:p>
        </w:tc>
        <w:tc>
          <w:tcPr>
            <w:tcW w:type="dxa" w:w="6560"/>
            <w:tcMar>
              <w:top w:type="dxa" w:w="60"/>
              <w:left w:type="dxa" w:w="100"/>
              <w:bottom w:type="dxa" w:w="60"/>
              <w:right w:type="dxa" w:w="100"/>
            </w:tcMar>
          </w:tcPr>
          <w:p>
            <w:pPr>
              <w:spacing w:after="0"/>
            </w:pPr>
            <w:r>
              <w:rPr>
                <w:b w:val="false"/>
                <w:bCs w:val="false"/>
                <w:sz w:val="18"/>
                <w:szCs w:val="18"/>
              </w:rPr>
              <w:t xml:space="preserve">Integrate LLM assistance into the research environment for hypothesis generation and literature synthesis, with generated hypotheses written into the hypothesis registry in the standard falsifiable schema (economic claim, predictors, sample, null).</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FR-AI-02</w:t>
            </w:r>
          </w:p>
        </w:tc>
        <w:tc>
          <w:tcPr>
            <w:tcW w:type="dxa" w:w="6560"/>
            <w:tcMar>
              <w:top w:type="dxa" w:w="60"/>
              <w:left w:type="dxa" w:w="100"/>
              <w:bottom w:type="dxa" w:w="60"/>
              <w:right w:type="dxa" w:w="100"/>
            </w:tcMar>
          </w:tcPr>
          <w:p>
            <w:pPr>
              <w:spacing w:after="0"/>
            </w:pPr>
            <w:r>
              <w:rPr>
                <w:b w:val="false"/>
                <w:bCs w:val="false"/>
                <w:sz w:val="18"/>
                <w:szCs w:val="18"/>
              </w:rPr>
              <w:t xml:space="preserve">LLM code synthesis: translate a registered hypothesis into candidate feature/signal code conforming to the platform contract, executed only through the standard experiment pipeline (auto-logged, snapshot-pinned).</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FR-AI-03</w:t>
            </w:r>
          </w:p>
        </w:tc>
        <w:tc>
          <w:tcPr>
            <w:tcW w:type="dxa" w:w="6560"/>
            <w:tcMar>
              <w:top w:type="dxa" w:w="60"/>
              <w:left w:type="dxa" w:w="100"/>
              <w:bottom w:type="dxa" w:w="60"/>
              <w:right w:type="dxa" w:w="100"/>
            </w:tcMar>
          </w:tcPr>
          <w:p>
            <w:pPr>
              <w:spacing w:after="0"/>
            </w:pPr>
            <w:r>
              <w:rPr>
                <w:b w:val="false"/>
                <w:bCs w:val="false"/>
                <w:sz w:val="18"/>
                <w:szCs w:val="18"/>
              </w:rPr>
              <w:t xml:space="preserve">Adopt a multi-role agent architecture (proposer, implementer, critic) with separate contexts communicating via the registry, rather than a single self-evaluating loop; the critic role checks claims against logged artefacts (evidence-bound promotion).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FR-AI-04</w:t>
            </w:r>
          </w:p>
        </w:tc>
        <w:tc>
          <w:tcPr>
            <w:tcW w:type="dxa" w:w="6560"/>
            <w:tcMar>
              <w:top w:type="dxa" w:w="60"/>
              <w:left w:type="dxa" w:w="100"/>
              <w:bottom w:type="dxa" w:w="60"/>
              <w:right w:type="dxa" w:w="100"/>
            </w:tcMar>
          </w:tcPr>
          <w:p>
            <w:pPr>
              <w:spacing w:after="0"/>
            </w:pPr>
            <w:r>
              <w:rPr>
                <w:b w:val="false"/>
                <w:bCs w:val="false"/>
                <w:sz w:val="18"/>
                <w:szCs w:val="18"/>
              </w:rPr>
              <w:t xml:space="preserve">Apply regularisation to AI-generated factors: originality checks against the existing library, complexity limits and hypothesis-alignment checks, to counteract crowding and decay-prone formula mining.</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FR-AI-05</w:t>
            </w:r>
          </w:p>
        </w:tc>
        <w:tc>
          <w:tcPr>
            <w:tcW w:type="dxa" w:w="6560"/>
            <w:tcMar>
              <w:top w:type="dxa" w:w="60"/>
              <w:left w:type="dxa" w:w="100"/>
              <w:bottom w:type="dxa" w:w="60"/>
              <w:right w:type="dxa" w:w="100"/>
            </w:tcMar>
          </w:tcPr>
          <w:p>
            <w:pPr>
              <w:spacing w:after="0"/>
            </w:pPr>
            <w:r>
              <w:rPr>
                <w:b w:val="false"/>
                <w:bCs w:val="false"/>
                <w:sz w:val="18"/>
                <w:szCs w:val="18"/>
              </w:rPr>
              <w:t xml:space="preserve">AI-assisted monitoring narration: automatic plain-language summaries of drift/decay incidents and review packs, drafted for human review.</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r>
        <w:tc>
          <w:tcPr>
            <w:tcW w:type="dxa" w:w="1200"/>
            <w:tcMar>
              <w:top w:type="dxa" w:w="60"/>
              <w:left w:type="dxa" w:w="100"/>
              <w:bottom w:type="dxa" w:w="60"/>
              <w:right w:type="dxa" w:w="100"/>
            </w:tcMar>
          </w:tcPr>
          <w:p>
            <w:pPr>
              <w:spacing w:after="0"/>
            </w:pPr>
            <w:r>
              <w:rPr>
                <w:b/>
                <w:bCs/>
                <w:sz w:val="18"/>
                <w:szCs w:val="18"/>
              </w:rPr>
              <w:t xml:space="preserve">FR-AI-06</w:t>
            </w:r>
          </w:p>
        </w:tc>
        <w:tc>
          <w:tcPr>
            <w:tcW w:type="dxa" w:w="6560"/>
            <w:tcMar>
              <w:top w:type="dxa" w:w="60"/>
              <w:left w:type="dxa" w:w="100"/>
              <w:bottom w:type="dxa" w:w="60"/>
              <w:right w:type="dxa" w:w="100"/>
            </w:tcMar>
          </w:tcPr>
          <w:p>
            <w:pPr>
              <w:spacing w:after="0"/>
            </w:pPr>
            <w:r>
              <w:rPr>
                <w:b w:val="false"/>
                <w:bCs w:val="false"/>
                <w:sz w:val="18"/>
                <w:szCs w:val="18"/>
              </w:rPr>
              <w:t xml:space="preserve">Batch alpha-mining campaigns (evolutionary/LLM-driven search over factor space) executed on research compute with every candidate logged as a trial, so DSR/PBO statistics reflect the true search breadth (see the open-problem note above).</w:t>
            </w:r>
          </w:p>
        </w:tc>
        <w:tc>
          <w:tcPr>
            <w:tcW w:type="dxa" w:w="1600"/>
            <w:tcMar>
              <w:top w:type="dxa" w:w="60"/>
              <w:left w:type="dxa" w:w="100"/>
              <w:bottom w:type="dxa" w:w="60"/>
              <w:right w:type="dxa" w:w="100"/>
            </w:tcMar>
          </w:tcPr>
          <w:p>
            <w:pPr>
              <w:spacing w:after="0"/>
            </w:pPr>
            <w:r>
              <w:rPr>
                <w:b w:val="false"/>
                <w:bCs w:val="false"/>
                <w:sz w:val="18"/>
                <w:szCs w:val="18"/>
              </w:rPr>
              <w:t xml:space="preserve">Could</w:t>
            </w:r>
          </w:p>
        </w:tc>
      </w:tr>
      <w:tr>
        <w:tc>
          <w:tcPr>
            <w:tcW w:type="dxa" w:w="1200"/>
            <w:tcMar>
              <w:top w:type="dxa" w:w="60"/>
              <w:left w:type="dxa" w:w="100"/>
              <w:bottom w:type="dxa" w:w="60"/>
              <w:right w:type="dxa" w:w="100"/>
            </w:tcMar>
          </w:tcPr>
          <w:p>
            <w:pPr>
              <w:spacing w:after="0"/>
            </w:pPr>
            <w:r>
              <w:rPr>
                <w:b/>
                <w:bCs/>
                <w:sz w:val="18"/>
                <w:szCs w:val="18"/>
              </w:rPr>
              <w:t xml:space="preserve">FR-AI-07</w:t>
            </w:r>
          </w:p>
        </w:tc>
        <w:tc>
          <w:tcPr>
            <w:tcW w:type="dxa" w:w="6560"/>
            <w:tcMar>
              <w:top w:type="dxa" w:w="60"/>
              <w:left w:type="dxa" w:w="100"/>
              <w:bottom w:type="dxa" w:w="60"/>
              <w:right w:type="dxa" w:w="100"/>
            </w:tcMar>
          </w:tcPr>
          <w:p>
            <w:pPr>
              <w:spacing w:after="0"/>
            </w:pPr>
            <w:r>
              <w:rPr>
                <w:b w:val="false"/>
                <w:bCs w:val="false"/>
                <w:sz w:val="18"/>
                <w:szCs w:val="18"/>
              </w:rPr>
              <w:t xml:space="preserve">All AI-generated artefacts are labelled as such in the registry with the model, prompt version and generation context recorded; human accountability for every promotion decision is preserved.</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FR-AI-08</w:t>
            </w:r>
          </w:p>
        </w:tc>
        <w:tc>
          <w:tcPr>
            <w:tcW w:type="dxa" w:w="6560"/>
            <w:tcMar>
              <w:top w:type="dxa" w:w="60"/>
              <w:left w:type="dxa" w:w="100"/>
              <w:bottom w:type="dxa" w:w="60"/>
              <w:right w:type="dxa" w:w="100"/>
            </w:tcMar>
          </w:tcPr>
          <w:p>
            <w:pPr>
              <w:spacing w:after="0"/>
            </w:pPr>
            <w:r>
              <w:rPr>
                <w:b w:val="false"/>
                <w:bCs w:val="false"/>
                <w:sz w:val="18"/>
                <w:szCs w:val="18"/>
              </w:rPr>
              <w:t xml:space="preserve">Parametric look-ahead control: every run involving an LLM records the model identity and its training-data cutoff; no backtest window that precedes the cutoff of any model involved may be labelled out-of-sample, and reports over such windows carry a mandatory parametric-look-ahead annotation.</w:t>
            </w:r>
          </w:p>
        </w:tc>
        <w:tc>
          <w:tcPr>
            <w:tcW w:type="dxa" w:w="1600"/>
            <w:tcMar>
              <w:top w:type="dxa" w:w="60"/>
              <w:left w:type="dxa" w:w="100"/>
              <w:bottom w:type="dxa" w:w="60"/>
              <w:right w:type="dxa" w:w="100"/>
            </w:tcMar>
          </w:tcPr>
          <w:p>
            <w:pPr>
              <w:spacing w:after="0"/>
            </w:pPr>
            <w:r>
              <w:rPr>
                <w:b w:val="false"/>
                <w:bCs w:val="false"/>
                <w:sz w:val="18"/>
                <w:szCs w:val="18"/>
              </w:rPr>
              <w:t xml:space="preserve">Must</w:t>
            </w:r>
          </w:p>
        </w:tc>
      </w:tr>
      <w:tr>
        <w:tc>
          <w:tcPr>
            <w:tcW w:type="dxa" w:w="1200"/>
            <w:tcMar>
              <w:top w:type="dxa" w:w="60"/>
              <w:left w:type="dxa" w:w="100"/>
              <w:bottom w:type="dxa" w:w="60"/>
              <w:right w:type="dxa" w:w="100"/>
            </w:tcMar>
          </w:tcPr>
          <w:p>
            <w:pPr>
              <w:spacing w:after="0"/>
            </w:pPr>
            <w:r>
              <w:rPr>
                <w:b/>
                <w:bCs/>
                <w:sz w:val="18"/>
                <w:szCs w:val="18"/>
              </w:rPr>
              <w:t xml:space="preserve">FR-AI-09</w:t>
            </w:r>
          </w:p>
        </w:tc>
        <w:tc>
          <w:tcPr>
            <w:tcW w:type="dxa" w:w="6560"/>
            <w:tcMar>
              <w:top w:type="dxa" w:w="60"/>
              <w:left w:type="dxa" w:w="100"/>
              <w:bottom w:type="dxa" w:w="60"/>
              <w:right w:type="dxa" w:w="100"/>
            </w:tcMar>
          </w:tcPr>
          <w:p>
            <w:pPr>
              <w:spacing w:after="0"/>
            </w:pPr>
            <w:r>
              <w:rPr>
                <w:b w:val="false"/>
                <w:bCs w:val="false"/>
                <w:sz w:val="18"/>
                <w:szCs w:val="18"/>
              </w:rPr>
              <w:t xml:space="preserve">Provide entity and date masking for prompts constructed from historical data (symbols, dates and identifying context pseudonymised) as a mitigation when LLMs are used in historical evaluation, with the masking configuration recorded on the run.</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14. Functional Requirements — xman Execution Interface (FR-EXE) — Low Priority</w:t>
      </w:r>
    </w:p>
    <w:p>
      <w:pPr>
        <w:spacing w:after="160" w:line="300"/>
      </w:pPr>
      <w:r>
        <w:rPr>
          <w:sz w:val="22"/>
          <w:szCs w:val="22"/>
        </w:rPr>
        <w:t xml:space="preserve">Deferred by design: the platform is valuable before a single live order is sent. The interface requirements are recorded now so the signal contract (FR-SIG-02) is designed to be executable later without rework. Default verification method: test against a webhook stub.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D9E2F3" w:val="clear"/>
            <w:tcMar>
              <w:top w:type="dxa" w:w="60"/>
              <w:left w:type="dxa" w:w="100"/>
              <w:bottom w:type="dxa" w:w="60"/>
              <w:right w:type="dxa" w:w="100"/>
            </w:tcMar>
          </w:tcPr>
          <w:p>
            <w:pPr>
              <w:spacing w:after="0"/>
            </w:pPr>
            <w:r>
              <w:rPr>
                <w:b/>
                <w:bCs/>
                <w:sz w:val="18"/>
                <w:szCs w:val="18"/>
              </w:rPr>
              <w:t xml:space="preserve">ID</w:t>
            </w:r>
          </w:p>
        </w:tc>
        <w:tc>
          <w:tcPr>
            <w:tcW w:type="dxa" w:w="6560"/>
            <w:shd w:fill="D9E2F3" w:val="clear"/>
            <w:tcMar>
              <w:top w:type="dxa" w:w="60"/>
              <w:left w:type="dxa" w:w="100"/>
              <w:bottom w:type="dxa" w:w="60"/>
              <w:right w:type="dxa" w:w="100"/>
            </w:tcMar>
          </w:tcPr>
          <w:p>
            <w:pPr>
              <w:spacing w:after="0"/>
            </w:pPr>
            <w:r>
              <w:rPr>
                <w:b/>
                <w:bCs/>
                <w:sz w:val="18"/>
                <w:szCs w:val="18"/>
              </w:rPr>
              <w:t xml:space="preserve">Requirement</w:t>
            </w:r>
          </w:p>
        </w:tc>
        <w:tc>
          <w:tcPr>
            <w:tcW w:type="dxa" w:w="1600"/>
            <w:shd w:fill="D9E2F3" w:val="clear"/>
            <w:tcMar>
              <w:top w:type="dxa" w:w="60"/>
              <w:left w:type="dxa" w:w="100"/>
              <w:bottom w:type="dxa" w:w="60"/>
              <w:right w:type="dxa" w:w="100"/>
            </w:tcMar>
          </w:tcPr>
          <w:p>
            <w:pPr>
              <w:spacing w:after="0"/>
            </w:pPr>
            <w:r>
              <w:rPr>
                <w:b/>
                <w:bCs/>
                <w:sz w:val="18"/>
                <w:szCs w:val="18"/>
              </w:rPr>
              <w:t xml:space="preserve">Priority</w:t>
            </w:r>
          </w:p>
        </w:tc>
      </w:tr>
      <w:tr>
        <w:tc>
          <w:tcPr>
            <w:tcW w:type="dxa" w:w="1200"/>
            <w:tcMar>
              <w:top w:type="dxa" w:w="60"/>
              <w:left w:type="dxa" w:w="100"/>
              <w:bottom w:type="dxa" w:w="60"/>
              <w:right w:type="dxa" w:w="100"/>
            </w:tcMar>
          </w:tcPr>
          <w:p>
            <w:pPr>
              <w:spacing w:after="0"/>
            </w:pPr>
            <w:r>
              <w:rPr>
                <w:b/>
                <w:bCs/>
                <w:sz w:val="18"/>
                <w:szCs w:val="18"/>
              </w:rPr>
              <w:t xml:space="preserve">FR-EXE-01</w:t>
            </w:r>
          </w:p>
        </w:tc>
        <w:tc>
          <w:tcPr>
            <w:tcW w:type="dxa" w:w="6560"/>
            <w:tcMar>
              <w:top w:type="dxa" w:w="60"/>
              <w:left w:type="dxa" w:w="100"/>
              <w:bottom w:type="dxa" w:w="60"/>
              <w:right w:type="dxa" w:w="100"/>
            </w:tcMar>
          </w:tcPr>
          <w:p>
            <w:pPr>
              <w:spacing w:after="0"/>
            </w:pPr>
            <w:r>
              <w:rPr>
                <w:b w:val="false"/>
                <w:bCs w:val="false"/>
                <w:sz w:val="18"/>
                <w:szCs w:val="18"/>
              </w:rPr>
              <w:t xml:space="preserve">Emit production signal triggers to xman over its webhook interface using an idempotent, versioned message schema (signal id/version, action, instrument(s), direction, strength/size hint, validity window, correlation id).</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FR-EXE-02</w:t>
            </w:r>
          </w:p>
        </w:tc>
        <w:tc>
          <w:tcPr>
            <w:tcW w:type="dxa" w:w="6560"/>
            <w:tcMar>
              <w:top w:type="dxa" w:w="60"/>
              <w:left w:type="dxa" w:w="100"/>
              <w:bottom w:type="dxa" w:w="60"/>
              <w:right w:type="dxa" w:w="100"/>
            </w:tcMar>
          </w:tcPr>
          <w:p>
            <w:pPr>
              <w:spacing w:after="0"/>
            </w:pPr>
            <w:r>
              <w:rPr>
                <w:b w:val="false"/>
                <w:bCs w:val="false"/>
                <w:sz w:val="18"/>
                <w:szCs w:val="18"/>
              </w:rPr>
              <w:t xml:space="preserve">Guarantee delivery semantics: retries with idempotency keys, dead-letter capture of failed deliveries, and alerting on delivery failure; xman acknowledgements and fill callbacks are ingested for FR-MON-08.</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FR-EXE-03</w:t>
            </w:r>
          </w:p>
        </w:tc>
        <w:tc>
          <w:tcPr>
            <w:tcW w:type="dxa" w:w="6560"/>
            <w:tcMar>
              <w:top w:type="dxa" w:w="60"/>
              <w:left w:type="dxa" w:w="100"/>
              <w:bottom w:type="dxa" w:w="60"/>
              <w:right w:type="dxa" w:w="100"/>
            </w:tcMar>
          </w:tcPr>
          <w:p>
            <w:pPr>
              <w:spacing w:after="0"/>
            </w:pPr>
            <w:r>
              <w:rPr>
                <w:b w:val="false"/>
                <w:bCs w:val="false"/>
                <w:sz w:val="18"/>
                <w:szCs w:val="18"/>
              </w:rPr>
              <w:t xml:space="preserve">Support per-signal enable/disable and size caps at the interface layer (consistent with FR-CAP-04), independent of xman-side controls.</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r>
        <w:tc>
          <w:tcPr>
            <w:tcW w:type="dxa" w:w="1200"/>
            <w:tcMar>
              <w:top w:type="dxa" w:w="60"/>
              <w:left w:type="dxa" w:w="100"/>
              <w:bottom w:type="dxa" w:w="60"/>
              <w:right w:type="dxa" w:w="100"/>
            </w:tcMar>
          </w:tcPr>
          <w:p>
            <w:pPr>
              <w:spacing w:after="0"/>
            </w:pPr>
            <w:r>
              <w:rPr>
                <w:b/>
                <w:bCs/>
                <w:sz w:val="18"/>
                <w:szCs w:val="18"/>
              </w:rPr>
              <w:t xml:space="preserve">FR-EXE-04</w:t>
            </w:r>
          </w:p>
        </w:tc>
        <w:tc>
          <w:tcPr>
            <w:tcW w:type="dxa" w:w="6560"/>
            <w:tcMar>
              <w:top w:type="dxa" w:w="60"/>
              <w:left w:type="dxa" w:w="100"/>
              <w:bottom w:type="dxa" w:w="60"/>
              <w:right w:type="dxa" w:w="100"/>
            </w:tcMar>
          </w:tcPr>
          <w:p>
            <w:pPr>
              <w:spacing w:after="0"/>
            </w:pPr>
            <w:r>
              <w:rPr>
                <w:b w:val="false"/>
                <w:bCs w:val="false"/>
                <w:sz w:val="18"/>
                <w:szCs w:val="18"/>
              </w:rPr>
              <w:t xml:space="preserve">Sign or authenticate webhook payloads and log every emission and acknowledgement for audit.</w:t>
            </w:r>
          </w:p>
        </w:tc>
        <w:tc>
          <w:tcPr>
            <w:tcW w:type="dxa" w:w="1600"/>
            <w:tcMar>
              <w:top w:type="dxa" w:w="60"/>
              <w:left w:type="dxa" w:w="100"/>
              <w:bottom w:type="dxa" w:w="60"/>
              <w:right w:type="dxa" w:w="100"/>
            </w:tcMar>
          </w:tcPr>
          <w:p>
            <w:pPr>
              <w:spacing w:after="0"/>
            </w:pPr>
            <w:r>
              <w:rPr>
                <w:b w:val="false"/>
                <w:bCs w:val="false"/>
                <w:sz w:val="18"/>
                <w:szCs w:val="18"/>
              </w:rPr>
              <w:t xml:space="preserve">Should</w:t>
            </w:r>
          </w:p>
        </w:tc>
      </w:tr>
    </w:tbl>
    <w:p>
      <w:pPr>
        <w:pStyle w:val="Heading1"/>
        <w:spacing w:after="200" w:before="360"/>
      </w:pPr>
      <w:r>
        <w:t xml:space="preserve">15.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D9E2F3" w:val="clear"/>
            <w:tcMar>
              <w:top w:type="dxa" w:w="60"/>
              <w:left w:type="dxa" w:w="100"/>
              <w:bottom w:type="dxa" w:w="60"/>
              <w:right w:type="dxa" w:w="100"/>
            </w:tcMar>
          </w:tcPr>
          <w:p>
            <w:pPr>
              <w:spacing w:after="0"/>
            </w:pPr>
            <w:r>
              <w:rPr>
                <w:b/>
                <w:bCs/>
                <w:sz w:val="18"/>
                <w:szCs w:val="18"/>
              </w:rPr>
              <w:t xml:space="preserve">ID</w:t>
            </w:r>
          </w:p>
        </w:tc>
        <w:tc>
          <w:tcPr>
            <w:tcW w:type="dxa" w:w="8060"/>
            <w:shd w:fill="D9E2F3" w:val="clear"/>
            <w:tcMar>
              <w:top w:type="dxa" w:w="60"/>
              <w:left w:type="dxa" w:w="100"/>
              <w:bottom w:type="dxa" w:w="60"/>
              <w:right w:type="dxa" w:w="100"/>
            </w:tcMar>
          </w:tcPr>
          <w:p>
            <w:pPr>
              <w:spacing w:after="0"/>
            </w:pPr>
            <w:r>
              <w:rPr>
                <w:b/>
                <w:bCs/>
                <w:sz w:val="18"/>
                <w:szCs w:val="18"/>
              </w:rPr>
              <w:t xml:space="preserve">Requirement</w:t>
            </w:r>
          </w:p>
        </w:tc>
      </w:tr>
      <w:tr>
        <w:tc>
          <w:tcPr>
            <w:tcW w:type="dxa" w:w="1300"/>
            <w:tcMar>
              <w:top w:type="dxa" w:w="60"/>
              <w:left w:type="dxa" w:w="100"/>
              <w:bottom w:type="dxa" w:w="60"/>
              <w:right w:type="dxa" w:w="100"/>
            </w:tcMar>
          </w:tcPr>
          <w:p>
            <w:pPr>
              <w:spacing w:after="0"/>
            </w:pPr>
            <w:r>
              <w:rPr>
                <w:b/>
                <w:bCs/>
                <w:sz w:val="18"/>
                <w:szCs w:val="18"/>
              </w:rPr>
              <w:t xml:space="preserve">NFR-01</w:t>
            </w:r>
          </w:p>
        </w:tc>
        <w:tc>
          <w:tcPr>
            <w:tcW w:type="dxa" w:w="8060"/>
            <w:tcMar>
              <w:top w:type="dxa" w:w="60"/>
              <w:left w:type="dxa" w:w="100"/>
              <w:bottom w:type="dxa" w:w="60"/>
              <w:right w:type="dxa" w:w="100"/>
            </w:tcMar>
          </w:tcPr>
          <w:p>
            <w:pPr>
              <w:spacing w:after="0"/>
            </w:pPr>
            <w:r>
              <w:rPr>
                <w:b w:val="false"/>
                <w:bCs w:val="false"/>
                <w:sz w:val="18"/>
                <w:szCs w:val="18"/>
              </w:rPr>
              <w:t xml:space="preserve">Reproducibility: any recorded result is regenerable exactly from (snapshot, code version, parameters). This is the platform's defining non-functional property.</w:t>
            </w:r>
          </w:p>
        </w:tc>
      </w:tr>
      <w:tr>
        <w:tc>
          <w:tcPr>
            <w:tcW w:type="dxa" w:w="1300"/>
            <w:tcMar>
              <w:top w:type="dxa" w:w="60"/>
              <w:left w:type="dxa" w:w="100"/>
              <w:bottom w:type="dxa" w:w="60"/>
              <w:right w:type="dxa" w:w="100"/>
            </w:tcMar>
          </w:tcPr>
          <w:p>
            <w:pPr>
              <w:spacing w:after="0"/>
            </w:pPr>
            <w:r>
              <w:rPr>
                <w:b/>
                <w:bCs/>
                <w:sz w:val="18"/>
                <w:szCs w:val="18"/>
              </w:rPr>
              <w:t xml:space="preserve">NFR-02</w:t>
            </w:r>
          </w:p>
        </w:tc>
        <w:tc>
          <w:tcPr>
            <w:tcW w:type="dxa" w:w="8060"/>
            <w:tcMar>
              <w:top w:type="dxa" w:w="60"/>
              <w:left w:type="dxa" w:w="100"/>
              <w:bottom w:type="dxa" w:w="60"/>
              <w:right w:type="dxa" w:w="100"/>
            </w:tcMar>
          </w:tcPr>
          <w:p>
            <w:pPr>
              <w:spacing w:after="0"/>
            </w:pPr>
            <w:r>
              <w:rPr>
                <w:b w:val="false"/>
                <w:bCs w:val="false"/>
                <w:sz w:val="18"/>
                <w:szCs w:val="18"/>
              </w:rPr>
              <w:t xml:space="preserve">Auditability: complete lineage from hypothesis to production emission is queryable; audit records are immutable in the application layer and tamper-evident per NFR-08. (Also positions the platform for SEBI algo-framework and future regulatory expectations.)</w:t>
            </w:r>
          </w:p>
        </w:tc>
      </w:tr>
      <w:tr>
        <w:tc>
          <w:tcPr>
            <w:tcW w:type="dxa" w:w="1300"/>
            <w:tcMar>
              <w:top w:type="dxa" w:w="60"/>
              <w:left w:type="dxa" w:w="100"/>
              <w:bottom w:type="dxa" w:w="60"/>
              <w:right w:type="dxa" w:w="100"/>
            </w:tcMar>
          </w:tcPr>
          <w:p>
            <w:pPr>
              <w:spacing w:after="0"/>
            </w:pPr>
            <w:r>
              <w:rPr>
                <w:b/>
                <w:bCs/>
                <w:sz w:val="18"/>
                <w:szCs w:val="18"/>
              </w:rPr>
              <w:t xml:space="preserve">NFR-03</w:t>
            </w:r>
          </w:p>
        </w:tc>
        <w:tc>
          <w:tcPr>
            <w:tcW w:type="dxa" w:w="8060"/>
            <w:tcMar>
              <w:top w:type="dxa" w:w="60"/>
              <w:left w:type="dxa" w:w="100"/>
              <w:bottom w:type="dxa" w:w="60"/>
              <w:right w:type="dxa" w:w="100"/>
            </w:tcMar>
          </w:tcPr>
          <w:p>
            <w:pPr>
              <w:spacing w:after="0"/>
            </w:pPr>
            <w:r>
              <w:rPr>
                <w:b w:val="false"/>
                <w:bCs w:val="false"/>
                <w:sz w:val="18"/>
                <w:szCs w:val="18"/>
              </w:rPr>
              <w:t xml:space="preserve">Performance: a one-year, single-underlying options backtest at 1-minute resolution completes interactively (target under a few minutes) under the stated contention assumption: measured with live trading running at normal load under the NFR-09 partitioning; the target is not guaranteed during declared bulk-capture or sweep windows.</w:t>
            </w:r>
          </w:p>
        </w:tc>
      </w:tr>
      <w:tr>
        <w:tc>
          <w:tcPr>
            <w:tcW w:type="dxa" w:w="1300"/>
            <w:tcMar>
              <w:top w:type="dxa" w:w="60"/>
              <w:left w:type="dxa" w:w="100"/>
              <w:bottom w:type="dxa" w:w="60"/>
              <w:right w:type="dxa" w:w="100"/>
            </w:tcMar>
          </w:tcPr>
          <w:p>
            <w:pPr>
              <w:spacing w:after="0"/>
            </w:pPr>
            <w:r>
              <w:rPr>
                <w:b/>
                <w:bCs/>
                <w:sz w:val="18"/>
                <w:szCs w:val="18"/>
              </w:rPr>
              <w:t xml:space="preserve">NFR-04</w:t>
            </w:r>
          </w:p>
        </w:tc>
        <w:tc>
          <w:tcPr>
            <w:tcW w:type="dxa" w:w="8060"/>
            <w:tcMar>
              <w:top w:type="dxa" w:w="60"/>
              <w:left w:type="dxa" w:w="100"/>
              <w:bottom w:type="dxa" w:w="60"/>
              <w:right w:type="dxa" w:w="100"/>
            </w:tcMar>
          </w:tcPr>
          <w:p>
            <w:pPr>
              <w:spacing w:after="0"/>
            </w:pPr>
            <w:r>
              <w:rPr>
                <w:b w:val="false"/>
                <w:bCs w:val="false"/>
                <w:sz w:val="18"/>
                <w:szCs w:val="18"/>
              </w:rPr>
              <w:t xml:space="preserve">Reliability: production signal evaluation and monitoring survive component restarts without missed or duplicated emissions (checkpointed, idempotent processing).</w:t>
            </w:r>
          </w:p>
        </w:tc>
      </w:tr>
      <w:tr>
        <w:tc>
          <w:tcPr>
            <w:tcW w:type="dxa" w:w="1300"/>
            <w:tcMar>
              <w:top w:type="dxa" w:w="60"/>
              <w:left w:type="dxa" w:w="100"/>
              <w:bottom w:type="dxa" w:w="60"/>
              <w:right w:type="dxa" w:w="100"/>
            </w:tcMar>
          </w:tcPr>
          <w:p>
            <w:pPr>
              <w:spacing w:after="0"/>
            </w:pPr>
            <w:r>
              <w:rPr>
                <w:b/>
                <w:bCs/>
                <w:sz w:val="18"/>
                <w:szCs w:val="18"/>
              </w:rPr>
              <w:t xml:space="preserve">NFR-05</w:t>
            </w:r>
          </w:p>
        </w:tc>
        <w:tc>
          <w:tcPr>
            <w:tcW w:type="dxa" w:w="8060"/>
            <w:tcMar>
              <w:top w:type="dxa" w:w="60"/>
              <w:left w:type="dxa" w:w="100"/>
              <w:bottom w:type="dxa" w:w="60"/>
              <w:right w:type="dxa" w:w="100"/>
            </w:tcMar>
          </w:tcPr>
          <w:p>
            <w:pPr>
              <w:spacing w:after="0"/>
            </w:pPr>
            <w:r>
              <w:rPr>
                <w:b w:val="false"/>
                <w:bCs w:val="false"/>
                <w:sz w:val="18"/>
                <w:szCs w:val="18"/>
              </w:rPr>
              <w:t xml:space="preserve">Security: role-based access, secrets management, encrypted data at rest and in transit; research code cannot exfiltrate production credentials.</w:t>
            </w:r>
          </w:p>
        </w:tc>
      </w:tr>
      <w:tr>
        <w:tc>
          <w:tcPr>
            <w:tcW w:type="dxa" w:w="1300"/>
            <w:tcMar>
              <w:top w:type="dxa" w:w="60"/>
              <w:left w:type="dxa" w:w="100"/>
              <w:bottom w:type="dxa" w:w="60"/>
              <w:right w:type="dxa" w:w="100"/>
            </w:tcMar>
          </w:tcPr>
          <w:p>
            <w:pPr>
              <w:spacing w:after="0"/>
            </w:pPr>
            <w:r>
              <w:rPr>
                <w:b/>
                <w:bCs/>
                <w:sz w:val="18"/>
                <w:szCs w:val="18"/>
              </w:rPr>
              <w:t xml:space="preserve">NFR-06</w:t>
            </w:r>
          </w:p>
        </w:tc>
        <w:tc>
          <w:tcPr>
            <w:tcW w:type="dxa" w:w="8060"/>
            <w:tcMar>
              <w:top w:type="dxa" w:w="60"/>
              <w:left w:type="dxa" w:w="100"/>
              <w:bottom w:type="dxa" w:w="60"/>
              <w:right w:type="dxa" w:w="100"/>
            </w:tcMar>
          </w:tcPr>
          <w:p>
            <w:pPr>
              <w:spacing w:after="0"/>
            </w:pPr>
            <w:r>
              <w:rPr>
                <w:b w:val="false"/>
                <w:bCs w:val="false"/>
                <w:sz w:val="18"/>
                <w:szCs w:val="18"/>
              </w:rPr>
              <w:t xml:space="preserve">Extensibility: new asset classes, data vendors, validation methods and execution venues are additive (ports-and-adapters style boundaries), consistent with the hexagonal backtest/live parity architecture.</w:t>
            </w:r>
          </w:p>
        </w:tc>
      </w:tr>
      <w:tr>
        <w:tc>
          <w:tcPr>
            <w:tcW w:type="dxa" w:w="1300"/>
            <w:tcMar>
              <w:top w:type="dxa" w:w="60"/>
              <w:left w:type="dxa" w:w="100"/>
              <w:bottom w:type="dxa" w:w="60"/>
              <w:right w:type="dxa" w:w="100"/>
            </w:tcMar>
          </w:tcPr>
          <w:p>
            <w:pPr>
              <w:spacing w:after="0"/>
            </w:pPr>
            <w:r>
              <w:rPr>
                <w:b/>
                <w:bCs/>
                <w:sz w:val="18"/>
                <w:szCs w:val="18"/>
              </w:rPr>
              <w:t xml:space="preserve">NFR-07</w:t>
            </w:r>
          </w:p>
        </w:tc>
        <w:tc>
          <w:tcPr>
            <w:tcW w:type="dxa" w:w="8060"/>
            <w:tcMar>
              <w:top w:type="dxa" w:w="60"/>
              <w:left w:type="dxa" w:w="100"/>
              <w:bottom w:type="dxa" w:w="60"/>
              <w:right w:type="dxa" w:w="100"/>
            </w:tcMar>
          </w:tcPr>
          <w:p>
            <w:pPr>
              <w:spacing w:after="0"/>
            </w:pPr>
            <w:r>
              <w:rPr>
                <w:b w:val="false"/>
                <w:bCs w:val="false"/>
                <w:sz w:val="18"/>
                <w:szCs w:val="18"/>
              </w:rPr>
              <w:t xml:space="preserve">Durability and recovery: the data layer, hypothesis registry, experiment ledger and signal registry are backed up on a defined schedule with at least one offsite/off-machine copy; recovery point and recovery time objectives are stated per store; restores are rehearsed on a defined cadence and the rehearsal result recorded.</w:t>
            </w:r>
          </w:p>
        </w:tc>
      </w:tr>
      <w:tr>
        <w:tc>
          <w:tcPr>
            <w:tcW w:type="dxa" w:w="1300"/>
            <w:tcMar>
              <w:top w:type="dxa" w:w="60"/>
              <w:left w:type="dxa" w:w="100"/>
              <w:bottom w:type="dxa" w:w="60"/>
              <w:right w:type="dxa" w:w="100"/>
            </w:tcMar>
          </w:tcPr>
          <w:p>
            <w:pPr>
              <w:spacing w:after="0"/>
            </w:pPr>
            <w:r>
              <w:rPr>
                <w:b/>
                <w:bCs/>
                <w:sz w:val="18"/>
                <w:szCs w:val="18"/>
              </w:rPr>
              <w:t xml:space="preserve">NFR-08</w:t>
            </w:r>
          </w:p>
        </w:tc>
        <w:tc>
          <w:tcPr>
            <w:tcW w:type="dxa" w:w="8060"/>
            <w:tcMar>
              <w:top w:type="dxa" w:w="60"/>
              <w:left w:type="dxa" w:w="100"/>
              <w:bottom w:type="dxa" w:w="60"/>
              <w:right w:type="dxa" w:w="100"/>
            </w:tcMar>
          </w:tcPr>
          <w:p>
            <w:pPr>
              <w:spacing w:after="0"/>
            </w:pPr>
            <w:r>
              <w:rPr>
                <w:b w:val="false"/>
                <w:bCs w:val="false"/>
                <w:sz w:val="18"/>
                <w:szCs w:val="18"/>
              </w:rPr>
              <w:t xml:space="preserve">Tamper-evidence for the research record: the hypothesis registry, trial ledger and gate/approval log are append-only with cryptographic hash-chaining (or equivalent), so that retroactive alteration is detectable. This is what makes single-operator self-attestation (C1) meaningful.</w:t>
            </w:r>
          </w:p>
        </w:tc>
      </w:tr>
      <w:tr>
        <w:tc>
          <w:tcPr>
            <w:tcW w:type="dxa" w:w="1300"/>
            <w:tcMar>
              <w:top w:type="dxa" w:w="60"/>
              <w:left w:type="dxa" w:w="100"/>
              <w:bottom w:type="dxa" w:w="60"/>
              <w:right w:type="dxa" w:w="100"/>
            </w:tcMar>
          </w:tcPr>
          <w:p>
            <w:pPr>
              <w:spacing w:after="0"/>
            </w:pPr>
            <w:r>
              <w:rPr>
                <w:b/>
                <w:bCs/>
                <w:sz w:val="18"/>
                <w:szCs w:val="18"/>
              </w:rPr>
              <w:t xml:space="preserve">NFR-09</w:t>
            </w:r>
          </w:p>
        </w:tc>
        <w:tc>
          <w:tcPr>
            <w:tcW w:type="dxa" w:w="8060"/>
            <w:tcMar>
              <w:top w:type="dxa" w:w="60"/>
              <w:left w:type="dxa" w:w="100"/>
              <w:bottom w:type="dxa" w:w="60"/>
              <w:right w:type="dxa" w:w="100"/>
            </w:tcMar>
          </w:tcPr>
          <w:p>
            <w:pPr>
              <w:spacing w:after="0"/>
            </w:pPr>
            <w:r>
              <w:rPr>
                <w:b w:val="false"/>
                <w:bCs w:val="false"/>
                <w:sz w:val="18"/>
                <w:szCs w:val="18"/>
              </w:rPr>
              <w:t xml:space="preserve">Resource partitioning: research and capture workloads run under enforced CPU/memory/IO limits and lower scheduling priority than live trading on shared hardware; a saturation test demonstrates live-trading latency is unaffected by a research workload at full permitted load.</w:t>
            </w:r>
          </w:p>
        </w:tc>
      </w:tr>
      <w:tr>
        <w:tc>
          <w:tcPr>
            <w:tcW w:type="dxa" w:w="1300"/>
            <w:tcMar>
              <w:top w:type="dxa" w:w="60"/>
              <w:left w:type="dxa" w:w="100"/>
              <w:bottom w:type="dxa" w:w="60"/>
              <w:right w:type="dxa" w:w="100"/>
            </w:tcMar>
          </w:tcPr>
          <w:p>
            <w:pPr>
              <w:spacing w:after="0"/>
            </w:pPr>
            <w:r>
              <w:rPr>
                <w:b/>
                <w:bCs/>
                <w:sz w:val="18"/>
                <w:szCs w:val="18"/>
              </w:rPr>
              <w:t xml:space="preserve">NFR-10</w:t>
            </w:r>
          </w:p>
        </w:tc>
        <w:tc>
          <w:tcPr>
            <w:tcW w:type="dxa" w:w="8060"/>
            <w:tcMar>
              <w:top w:type="dxa" w:w="60"/>
              <w:left w:type="dxa" w:w="100"/>
              <w:bottom w:type="dxa" w:w="60"/>
              <w:right w:type="dxa" w:w="100"/>
            </w:tcMar>
          </w:tcPr>
          <w:p>
            <w:pPr>
              <w:spacing w:after="0"/>
            </w:pPr>
            <w:r>
              <w:rPr>
                <w:b w:val="false"/>
                <w:bCs w:val="false"/>
                <w:sz w:val="18"/>
                <w:szCs w:val="18"/>
              </w:rPr>
              <w:t xml:space="preserve">Data licensing: vendor licence and redistribution terms for retained multi-year history are recorded in the data catalogue per dataset, and retention/usage stays within them.</w:t>
            </w:r>
          </w:p>
        </w:tc>
      </w:tr>
    </w:tbl>
    <w:p>
      <w:pPr>
        <w:pStyle w:val="Heading1"/>
        <w:spacing w:after="200" w:before="360"/>
      </w:pPr>
      <w:r>
        <w:t xml:space="preserve">16. Minimal Credible Core</w:t>
      </w:r>
    </w:p>
    <w:p>
      <w:pPr>
        <w:spacing w:after="160" w:line="300"/>
      </w:pPr>
      <w:r>
        <w:rPr>
          <w:sz w:val="22"/>
          <w:szCs w:val="22"/>
        </w:rPr>
        <w:t xml:space="preserve">The Minimal Credible Core (MCC) is the smallest subset of this document sufficient to run one honest experiment end to end — smaller than Phase 1, and the thing actually worth building first. It comprises: point-in-time storage with as-of queries and snapshots for one index underlying's options chain (FR-DATA-01/03/09 restricted in scope), prospective capture running from day one (FR-DATA-14/15), basic IV and first-order Greeks (FR-DATA-05 core), the hypothesis registry and auto-logged experiment tracking with the exploration boundary (FR-RES-03/04/09), one signal implemented against the contract in backtest mode (FR-SIG-02/03 minimal), the backtester with the full cost stack, expiry settlement and participation caps but simplified margin (FR-BT-01/02/03/04/09, FR-CAP-04), walk-forward plus DSR/PBO with locked thresholds (FR-VAL-01/03/04/05/09), and hash-chained append-only ledgers with offsite backup (NFR-07/08). Everything else, including CPCV, the feature store, surface fitting, forward testing, monitoring and AI assistance, layers on after the MCC has produced its first gated result.</w:t>
      </w:r>
    </w:p>
    <w:p>
      <w:pPr>
        <w:pStyle w:val="Heading1"/>
        <w:spacing w:after="200" w:before="360"/>
      </w:pPr>
      <w:r>
        <w:t xml:space="preserve">17. Phasing and Effort</w:t>
      </w:r>
    </w:p>
    <w:p>
      <w:pPr>
        <w:spacing w:after="160" w:line="300"/>
      </w:pPr>
      <w:r>
        <w:rPr>
          <w:sz w:val="22"/>
          <w:szCs w:val="22"/>
        </w:rPr>
        <w:t xml:space="preserve">Phase 1 (foundation, the MoSCoW timebox): the MCC plus the remaining Phase 1 Musts — full margin modelling, CPCV, the feature store, epoch registry and epoch-annotated reporting, sizing policy as artefact, and data QC. Phase 2 (lifecycle): FR-FWD, FR-DEP, FR-MON (including pre-registered kill criteria), FR-FB. Phase 3 (leverage): FR-AI, remaining Should/Could items, and FR-EXE to close the loop into xman.</w:t>
      </w:r>
    </w:p>
    <w:p>
      <w:pPr>
        <w:spacing w:after="160" w:line="300"/>
      </w:pPr>
      <w:r>
        <w:rPr>
          <w:sz w:val="22"/>
          <w:szCs w:val="22"/>
        </w:rPr>
        <w:t xml:space="preserve">Effort is stated as bands with the capacity assumption named, per the review. For a small team (2–3 engineers): MCC in roughly 6–10 weeks, Phase 1 in 3–4 months, full lifecycle in 6–9 months. For a single practitioner without AI assistance: MCC in roughly 3–5 months, Phase 1 approaching a year, and the earlier headline estimates would be misleading. The operative assumption for this platform (constraint C1) is a single practitioner with substantial agentic AI development capacity, which experience suggests sits between the bands — closer to the small-team band for well-specified components (backtester mechanics, storage, CI) and closer to the solo band for judgement-heavy components (cost-model calibration, validation-gate design, epoch analysis). These bands are planning inputs, not commitments, and should be revised after the MCC lands.</w:t>
      </w:r>
    </w:p>
    <w:p>
      <w:pPr>
        <w:pStyle w:val="Heading1"/>
        <w:spacing w:after="200" w:before="360"/>
      </w:pPr>
      <w: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pPr>
            <w:r>
              <w:rPr>
                <w:b/>
                <w:bCs/>
                <w:sz w:val="18"/>
                <w:szCs w:val="18"/>
              </w:rPr>
              <w:t xml:space="preserve">Term</w:t>
            </w:r>
          </w:p>
        </w:tc>
        <w:tc>
          <w:tcPr>
            <w:tcW w:type="dxa" w:w="6960"/>
            <w:shd w:fill="D9E2F3" w:val="clear"/>
            <w:tcMar>
              <w:top w:type="dxa" w:w="60"/>
              <w:left w:type="dxa" w:w="100"/>
              <w:bottom w:type="dxa" w:w="60"/>
              <w:right w:type="dxa" w:w="100"/>
            </w:tcMar>
          </w:tcPr>
          <w:p>
            <w:pPr>
              <w:spacing w:after="0"/>
            </w:pPr>
            <w:r>
              <w:rPr>
                <w:b/>
                <w:bCs/>
                <w:sz w:val="18"/>
                <w:szCs w:val="18"/>
              </w:rPr>
              <w:t xml:space="preserve">Meaning</w:t>
            </w:r>
          </w:p>
        </w:tc>
      </w:tr>
      <w:tr>
        <w:tc>
          <w:tcPr>
            <w:tcW w:type="dxa" w:w="2400"/>
            <w:tcMar>
              <w:top w:type="dxa" w:w="60"/>
              <w:left w:type="dxa" w:w="100"/>
              <w:bottom w:type="dxa" w:w="60"/>
              <w:right w:type="dxa" w:w="100"/>
            </w:tcMar>
          </w:tcPr>
          <w:p>
            <w:pPr>
              <w:spacing w:after="0"/>
            </w:pPr>
            <w:r>
              <w:rPr>
                <w:b/>
                <w:bCs/>
                <w:sz w:val="18"/>
                <w:szCs w:val="18"/>
              </w:rPr>
              <w:t xml:space="preserve">Point-in-time (PIT)</w:t>
            </w:r>
          </w:p>
        </w:tc>
        <w:tc>
          <w:tcPr>
            <w:tcW w:type="dxa" w:w="6960"/>
            <w:tcMar>
              <w:top w:type="dxa" w:w="60"/>
              <w:left w:type="dxa" w:w="100"/>
              <w:bottom w:type="dxa" w:w="60"/>
              <w:right w:type="dxa" w:w="100"/>
            </w:tcMar>
          </w:tcPr>
          <w:p>
            <w:pPr>
              <w:spacing w:after="0"/>
            </w:pPr>
            <w:r>
              <w:rPr>
                <w:b w:val="false"/>
                <w:bCs w:val="false"/>
                <w:sz w:val="18"/>
                <w:szCs w:val="18"/>
              </w:rPr>
              <w:t xml:space="preserve">Data as it was known at a given moment, excluding later revisions; the prerequisite for lookahead-free research.</w:t>
            </w:r>
          </w:p>
        </w:tc>
      </w:tr>
      <w:tr>
        <w:tc>
          <w:tcPr>
            <w:tcW w:type="dxa" w:w="2400"/>
            <w:tcMar>
              <w:top w:type="dxa" w:w="60"/>
              <w:left w:type="dxa" w:w="100"/>
              <w:bottom w:type="dxa" w:w="60"/>
              <w:right w:type="dxa" w:w="100"/>
            </w:tcMar>
          </w:tcPr>
          <w:p>
            <w:pPr>
              <w:spacing w:after="0"/>
            </w:pPr>
            <w:r>
              <w:rPr>
                <w:b/>
                <w:bCs/>
                <w:sz w:val="18"/>
                <w:szCs w:val="18"/>
              </w:rPr>
              <w:t xml:space="preserve">CPCV</w:t>
            </w:r>
          </w:p>
        </w:tc>
        <w:tc>
          <w:tcPr>
            <w:tcW w:type="dxa" w:w="6960"/>
            <w:tcMar>
              <w:top w:type="dxa" w:w="60"/>
              <w:left w:type="dxa" w:w="100"/>
              <w:bottom w:type="dxa" w:w="60"/>
              <w:right w:type="dxa" w:w="100"/>
            </w:tcMar>
          </w:tcPr>
          <w:p>
            <w:pPr>
              <w:spacing w:after="0"/>
            </w:pPr>
            <w:r>
              <w:rPr>
                <w:b w:val="false"/>
                <w:bCs w:val="false"/>
                <w:sz w:val="18"/>
                <w:szCs w:val="18"/>
              </w:rPr>
              <w:t xml:space="preserve">Combinatorial Purged Cross-Validation: multiple train/test path combinations with purging and embargoing of overlapping/serially-correlated samples (López de Prado).</w:t>
            </w:r>
          </w:p>
        </w:tc>
      </w:tr>
      <w:tr>
        <w:tc>
          <w:tcPr>
            <w:tcW w:type="dxa" w:w="2400"/>
            <w:tcMar>
              <w:top w:type="dxa" w:w="60"/>
              <w:left w:type="dxa" w:w="100"/>
              <w:bottom w:type="dxa" w:w="60"/>
              <w:right w:type="dxa" w:w="100"/>
            </w:tcMar>
          </w:tcPr>
          <w:p>
            <w:pPr>
              <w:spacing w:after="0"/>
            </w:pPr>
            <w:r>
              <w:rPr>
                <w:b/>
                <w:bCs/>
                <w:sz w:val="18"/>
                <w:szCs w:val="18"/>
              </w:rPr>
              <w:t xml:space="preserve">DSR</w:t>
            </w:r>
          </w:p>
        </w:tc>
        <w:tc>
          <w:tcPr>
            <w:tcW w:type="dxa" w:w="6960"/>
            <w:tcMar>
              <w:top w:type="dxa" w:w="60"/>
              <w:left w:type="dxa" w:w="100"/>
              <w:bottom w:type="dxa" w:w="60"/>
              <w:right w:type="dxa" w:w="100"/>
            </w:tcMar>
          </w:tcPr>
          <w:p>
            <w:pPr>
              <w:spacing w:after="0"/>
            </w:pPr>
            <w:r>
              <w:rPr>
                <w:b w:val="false"/>
                <w:bCs w:val="false"/>
                <w:sz w:val="18"/>
                <w:szCs w:val="18"/>
              </w:rPr>
              <w:t xml:space="preserve">Deflated Sharpe Ratio: Sharpe corrected for number of trials, selection bias and non-normal returns (Bailey &amp; López de Prado, 2014).</w:t>
            </w:r>
          </w:p>
        </w:tc>
      </w:tr>
      <w:tr>
        <w:tc>
          <w:tcPr>
            <w:tcW w:type="dxa" w:w="2400"/>
            <w:tcMar>
              <w:top w:type="dxa" w:w="60"/>
              <w:left w:type="dxa" w:w="100"/>
              <w:bottom w:type="dxa" w:w="60"/>
              <w:right w:type="dxa" w:w="100"/>
            </w:tcMar>
          </w:tcPr>
          <w:p>
            <w:pPr>
              <w:spacing w:after="0"/>
            </w:pPr>
            <w:r>
              <w:rPr>
                <w:b/>
                <w:bCs/>
                <w:sz w:val="18"/>
                <w:szCs w:val="18"/>
              </w:rPr>
              <w:t xml:space="preserve">PBO</w:t>
            </w:r>
          </w:p>
        </w:tc>
        <w:tc>
          <w:tcPr>
            <w:tcW w:type="dxa" w:w="6960"/>
            <w:tcMar>
              <w:top w:type="dxa" w:w="60"/>
              <w:left w:type="dxa" w:w="100"/>
              <w:bottom w:type="dxa" w:w="60"/>
              <w:right w:type="dxa" w:w="100"/>
            </w:tcMar>
          </w:tcPr>
          <w:p>
            <w:pPr>
              <w:spacing w:after="0"/>
            </w:pPr>
            <w:r>
              <w:rPr>
                <w:b w:val="false"/>
                <w:bCs w:val="false"/>
                <w:sz w:val="18"/>
                <w:szCs w:val="18"/>
              </w:rPr>
              <w:t xml:space="preserve">Probability of Backtest Overfitting: likelihood the selected configuration outperformed in-sample by chance (Bailey et al., 2016).</w:t>
            </w:r>
          </w:p>
        </w:tc>
      </w:tr>
      <w:tr>
        <w:tc>
          <w:tcPr>
            <w:tcW w:type="dxa" w:w="2400"/>
            <w:tcMar>
              <w:top w:type="dxa" w:w="60"/>
              <w:left w:type="dxa" w:w="100"/>
              <w:bottom w:type="dxa" w:w="60"/>
              <w:right w:type="dxa" w:w="100"/>
            </w:tcMar>
          </w:tcPr>
          <w:p>
            <w:pPr>
              <w:spacing w:after="0"/>
            </w:pPr>
            <w:r>
              <w:rPr>
                <w:b/>
                <w:bCs/>
                <w:sz w:val="18"/>
                <w:szCs w:val="18"/>
              </w:rPr>
              <w:t xml:space="preserve">MinBTL / MinTRL</w:t>
            </w:r>
          </w:p>
        </w:tc>
        <w:tc>
          <w:tcPr>
            <w:tcW w:type="dxa" w:w="6960"/>
            <w:tcMar>
              <w:top w:type="dxa" w:w="60"/>
              <w:left w:type="dxa" w:w="100"/>
              <w:bottom w:type="dxa" w:w="60"/>
              <w:right w:type="dxa" w:w="100"/>
            </w:tcMar>
          </w:tcPr>
          <w:p>
            <w:pPr>
              <w:spacing w:after="0"/>
            </w:pPr>
            <w:r>
              <w:rPr>
                <w:b w:val="false"/>
                <w:bCs w:val="false"/>
                <w:sz w:val="18"/>
                <w:szCs w:val="18"/>
              </w:rPr>
              <w:t xml:space="preserve">Minimum backtest length / minimum track-record length: computable sample-size floors below which an apparent result at a given trial count is expected by chance.</w:t>
            </w:r>
          </w:p>
        </w:tc>
      </w:tr>
      <w:tr>
        <w:tc>
          <w:tcPr>
            <w:tcW w:type="dxa" w:w="2400"/>
            <w:tcMar>
              <w:top w:type="dxa" w:w="60"/>
              <w:left w:type="dxa" w:w="100"/>
              <w:bottom w:type="dxa" w:w="60"/>
              <w:right w:type="dxa" w:w="100"/>
            </w:tcMar>
          </w:tcPr>
          <w:p>
            <w:pPr>
              <w:spacing w:after="0"/>
            </w:pPr>
            <w:r>
              <w:rPr>
                <w:b/>
                <w:bCs/>
                <w:sz w:val="18"/>
                <w:szCs w:val="18"/>
              </w:rPr>
              <w:t xml:space="preserve">Feature store</w:t>
            </w:r>
          </w:p>
        </w:tc>
        <w:tc>
          <w:tcPr>
            <w:tcW w:type="dxa" w:w="6960"/>
            <w:tcMar>
              <w:top w:type="dxa" w:w="60"/>
              <w:left w:type="dxa" w:w="100"/>
              <w:bottom w:type="dxa" w:w="60"/>
              <w:right w:type="dxa" w:w="100"/>
            </w:tcMar>
          </w:tcPr>
          <w:p>
            <w:pPr>
              <w:spacing w:after="0"/>
            </w:pPr>
            <w:r>
              <w:rPr>
                <w:b w:val="false"/>
                <w:bCs w:val="false"/>
                <w:sz w:val="18"/>
                <w:szCs w:val="18"/>
              </w:rPr>
              <w:t xml:space="preserve">Registry serving identical feature computations to offline (research) and online (production) consumers, preventing training/serving skew.</w:t>
            </w:r>
          </w:p>
        </w:tc>
      </w:tr>
      <w:tr>
        <w:tc>
          <w:tcPr>
            <w:tcW w:type="dxa" w:w="2400"/>
            <w:tcMar>
              <w:top w:type="dxa" w:w="60"/>
              <w:left w:type="dxa" w:w="100"/>
              <w:bottom w:type="dxa" w:w="60"/>
              <w:right w:type="dxa" w:w="100"/>
            </w:tcMar>
          </w:tcPr>
          <w:p>
            <w:pPr>
              <w:spacing w:after="0"/>
            </w:pPr>
            <w:r>
              <w:rPr>
                <w:b/>
                <w:bCs/>
                <w:sz w:val="18"/>
                <w:szCs w:val="18"/>
              </w:rPr>
              <w:t xml:space="preserve">SVI / SSVI / SABR</w:t>
            </w:r>
          </w:p>
        </w:tc>
        <w:tc>
          <w:tcPr>
            <w:tcW w:type="dxa" w:w="6960"/>
            <w:tcMar>
              <w:top w:type="dxa" w:w="60"/>
              <w:left w:type="dxa" w:w="100"/>
              <w:bottom w:type="dxa" w:w="60"/>
              <w:right w:type="dxa" w:w="100"/>
            </w:tcMar>
          </w:tcPr>
          <w:p>
            <w:pPr>
              <w:spacing w:after="0"/>
            </w:pPr>
            <w:r>
              <w:rPr>
                <w:b w:val="false"/>
                <w:bCs w:val="false"/>
                <w:sz w:val="18"/>
                <w:szCs w:val="18"/>
              </w:rPr>
              <w:t xml:space="preserve">Parametric implied-volatility smile/surface models used for arbitrage-free surface fitting and interpolation.</w:t>
            </w:r>
          </w:p>
        </w:tc>
      </w:tr>
      <w:tr>
        <w:tc>
          <w:tcPr>
            <w:tcW w:type="dxa" w:w="2400"/>
            <w:tcMar>
              <w:top w:type="dxa" w:w="60"/>
              <w:left w:type="dxa" w:w="100"/>
              <w:bottom w:type="dxa" w:w="60"/>
              <w:right w:type="dxa" w:w="100"/>
            </w:tcMar>
          </w:tcPr>
          <w:p>
            <w:pPr>
              <w:spacing w:after="0"/>
            </w:pPr>
            <w:r>
              <w:rPr>
                <w:b/>
                <w:bCs/>
                <w:sz w:val="18"/>
                <w:szCs w:val="18"/>
              </w:rPr>
              <w:t xml:space="preserve">VRP</w:t>
            </w:r>
          </w:p>
        </w:tc>
        <w:tc>
          <w:tcPr>
            <w:tcW w:type="dxa" w:w="6960"/>
            <w:tcMar>
              <w:top w:type="dxa" w:w="60"/>
              <w:left w:type="dxa" w:w="100"/>
              <w:bottom w:type="dxa" w:w="60"/>
              <w:right w:type="dxa" w:w="100"/>
            </w:tcMar>
          </w:tcPr>
          <w:p>
            <w:pPr>
              <w:spacing w:after="0"/>
            </w:pPr>
            <w:r>
              <w:rPr>
                <w:b w:val="false"/>
                <w:bCs w:val="false"/>
                <w:sz w:val="18"/>
                <w:szCs w:val="18"/>
              </w:rPr>
              <w:t xml:space="preserve">Variance risk premium: implied minus realised volatility, a core options signal input.</w:t>
            </w:r>
          </w:p>
        </w:tc>
      </w:tr>
      <w:tr>
        <w:tc>
          <w:tcPr>
            <w:tcW w:type="dxa" w:w="2400"/>
            <w:tcMar>
              <w:top w:type="dxa" w:w="60"/>
              <w:left w:type="dxa" w:w="100"/>
              <w:bottom w:type="dxa" w:w="60"/>
              <w:right w:type="dxa" w:w="100"/>
            </w:tcMar>
          </w:tcPr>
          <w:p>
            <w:pPr>
              <w:spacing w:after="0"/>
            </w:pPr>
            <w:r>
              <w:rPr>
                <w:b/>
                <w:bCs/>
                <w:sz w:val="18"/>
                <w:szCs w:val="18"/>
              </w:rPr>
              <w:t xml:space="preserve">Champion/challenger</w:t>
            </w:r>
          </w:p>
        </w:tc>
        <w:tc>
          <w:tcPr>
            <w:tcW w:type="dxa" w:w="6960"/>
            <w:tcMar>
              <w:top w:type="dxa" w:w="60"/>
              <w:left w:type="dxa" w:w="100"/>
              <w:bottom w:type="dxa" w:w="60"/>
              <w:right w:type="dxa" w:w="100"/>
            </w:tcMar>
          </w:tcPr>
          <w:p>
            <w:pPr>
              <w:spacing w:after="0"/>
            </w:pPr>
            <w:r>
              <w:rPr>
                <w:b w:val="false"/>
                <w:bCs w:val="false"/>
                <w:sz w:val="18"/>
                <w:szCs w:val="18"/>
              </w:rPr>
              <w:t xml:space="preserve">Running a candidate version alongside the production incumbent on identical inputs for statistically grounded comparison.</w:t>
            </w:r>
          </w:p>
        </w:tc>
      </w:tr>
      <w:tr>
        <w:tc>
          <w:tcPr>
            <w:tcW w:type="dxa" w:w="2400"/>
            <w:tcMar>
              <w:top w:type="dxa" w:w="60"/>
              <w:left w:type="dxa" w:w="100"/>
              <w:bottom w:type="dxa" w:w="60"/>
              <w:right w:type="dxa" w:w="100"/>
            </w:tcMar>
          </w:tcPr>
          <w:p>
            <w:pPr>
              <w:spacing w:after="0"/>
            </w:pPr>
            <w:r>
              <w:rPr>
                <w:b/>
                <w:bCs/>
                <w:sz w:val="18"/>
                <w:szCs w:val="18"/>
              </w:rPr>
              <w:t xml:space="preserve">Signal decay</w:t>
            </w:r>
          </w:p>
        </w:tc>
        <w:tc>
          <w:tcPr>
            <w:tcW w:type="dxa" w:w="6960"/>
            <w:tcMar>
              <w:top w:type="dxa" w:w="60"/>
              <w:left w:type="dxa" w:w="100"/>
              <w:bottom w:type="dxa" w:w="60"/>
              <w:right w:type="dxa" w:w="100"/>
            </w:tcMar>
          </w:tcPr>
          <w:p>
            <w:pPr>
              <w:spacing w:after="0"/>
            </w:pPr>
            <w:r>
              <w:rPr>
                <w:b w:val="false"/>
                <w:bCs w:val="false"/>
                <w:sz w:val="18"/>
                <w:szCs w:val="18"/>
              </w:rPr>
              <w:t xml:space="preserve">Erosion of a signal's predictive power over time through crowding, regime change or overfit discovery.</w:t>
            </w:r>
          </w:p>
        </w:tc>
      </w:tr>
      <w:tr>
        <w:tc>
          <w:tcPr>
            <w:tcW w:type="dxa" w:w="2400"/>
            <w:tcMar>
              <w:top w:type="dxa" w:w="60"/>
              <w:left w:type="dxa" w:w="100"/>
              <w:bottom w:type="dxa" w:w="60"/>
              <w:right w:type="dxa" w:w="100"/>
            </w:tcMar>
          </w:tcPr>
          <w:p>
            <w:pPr>
              <w:spacing w:after="0"/>
            </w:pPr>
            <w:r>
              <w:rPr>
                <w:b/>
                <w:bCs/>
                <w:sz w:val="18"/>
                <w:szCs w:val="18"/>
              </w:rPr>
              <w:t xml:space="preserve">Training/serving skew</w:t>
            </w:r>
          </w:p>
        </w:tc>
        <w:tc>
          <w:tcPr>
            <w:tcW w:type="dxa" w:w="6960"/>
            <w:tcMar>
              <w:top w:type="dxa" w:w="60"/>
              <w:left w:type="dxa" w:w="100"/>
              <w:bottom w:type="dxa" w:w="60"/>
              <w:right w:type="dxa" w:w="100"/>
            </w:tcMar>
          </w:tcPr>
          <w:p>
            <w:pPr>
              <w:spacing w:after="0"/>
            </w:pPr>
            <w:r>
              <w:rPr>
                <w:b w:val="false"/>
                <w:bCs w:val="false"/>
                <w:sz w:val="18"/>
                <w:szCs w:val="18"/>
              </w:rPr>
              <w:t xml:space="preserve">Divergence between feature values computed in research and in production for the same inputs.</w:t>
            </w:r>
          </w:p>
        </w:tc>
      </w:tr>
      <w:tr>
        <w:tc>
          <w:tcPr>
            <w:tcW w:type="dxa" w:w="2400"/>
            <w:tcMar>
              <w:top w:type="dxa" w:w="60"/>
              <w:left w:type="dxa" w:w="100"/>
              <w:bottom w:type="dxa" w:w="60"/>
              <w:right w:type="dxa" w:w="100"/>
            </w:tcMar>
          </w:tcPr>
          <w:p>
            <w:pPr>
              <w:spacing w:after="0"/>
            </w:pPr>
            <w:r>
              <w:rPr>
                <w:b/>
                <w:bCs/>
                <w:sz w:val="18"/>
                <w:szCs w:val="18"/>
              </w:rPr>
              <w:t xml:space="preserve">Parametric look-ahead</w:t>
            </w:r>
          </w:p>
        </w:tc>
        <w:tc>
          <w:tcPr>
            <w:tcW w:type="dxa" w:w="6960"/>
            <w:tcMar>
              <w:top w:type="dxa" w:w="60"/>
              <w:left w:type="dxa" w:w="100"/>
              <w:bottom w:type="dxa" w:w="60"/>
              <w:right w:type="dxa" w:w="100"/>
            </w:tcMar>
          </w:tcPr>
          <w:p>
            <w:pPr>
              <w:spacing w:after="0"/>
            </w:pPr>
            <w:r>
              <w:rPr>
                <w:b w:val="false"/>
                <w:bCs w:val="false"/>
                <w:sz w:val="18"/>
                <w:szCs w:val="18"/>
              </w:rPr>
              <w:t xml:space="preserve">An LLM's knowledge of historical outcomes from its training data contaminating a backtest over a period before its training cutoff.</w:t>
            </w:r>
          </w:p>
        </w:tc>
      </w:tr>
      <w:tr>
        <w:tc>
          <w:tcPr>
            <w:tcW w:type="dxa" w:w="2400"/>
            <w:tcMar>
              <w:top w:type="dxa" w:w="60"/>
              <w:left w:type="dxa" w:w="100"/>
              <w:bottom w:type="dxa" w:w="60"/>
              <w:right w:type="dxa" w:w="100"/>
            </w:tcMar>
          </w:tcPr>
          <w:p>
            <w:pPr>
              <w:spacing w:after="0"/>
            </w:pPr>
            <w:r>
              <w:rPr>
                <w:b/>
                <w:bCs/>
                <w:sz w:val="18"/>
                <w:szCs w:val="18"/>
              </w:rPr>
              <w:t xml:space="preserve">Regulatory epoch</w:t>
            </w:r>
          </w:p>
        </w:tc>
        <w:tc>
          <w:tcPr>
            <w:tcW w:type="dxa" w:w="6960"/>
            <w:tcMar>
              <w:top w:type="dxa" w:w="60"/>
              <w:left w:type="dxa" w:w="100"/>
              <w:bottom w:type="dxa" w:w="60"/>
              <w:right w:type="dxa" w:w="100"/>
            </w:tcMar>
          </w:tcPr>
          <w:p>
            <w:pPr>
              <w:spacing w:after="0"/>
            </w:pPr>
            <w:r>
              <w:rPr>
                <w:b w:val="false"/>
                <w:bCs w:val="false"/>
                <w:sz w:val="18"/>
                <w:szCs w:val="18"/>
              </w:rPr>
              <w:t xml:space="preserve">A named period of stable market structure between structural regulatory changes; results must not silently pool across epoch boundaries.</w:t>
            </w:r>
          </w:p>
        </w:tc>
      </w:tr>
      <w:tr>
        <w:tc>
          <w:tcPr>
            <w:tcW w:type="dxa" w:w="2400"/>
            <w:tcMar>
              <w:top w:type="dxa" w:w="60"/>
              <w:left w:type="dxa" w:w="100"/>
              <w:bottom w:type="dxa" w:w="60"/>
              <w:right w:type="dxa" w:w="100"/>
            </w:tcMar>
          </w:tcPr>
          <w:p>
            <w:pPr>
              <w:spacing w:after="0"/>
            </w:pPr>
            <w:r>
              <w:rPr>
                <w:b/>
                <w:bCs/>
                <w:sz w:val="18"/>
                <w:szCs w:val="18"/>
              </w:rPr>
              <w:t xml:space="preserve">Cost-breakeven multiple</w:t>
            </w:r>
          </w:p>
        </w:tc>
        <w:tc>
          <w:tcPr>
            <w:tcW w:type="dxa" w:w="6960"/>
            <w:tcMar>
              <w:top w:type="dxa" w:w="60"/>
              <w:left w:type="dxa" w:w="100"/>
              <w:bottom w:type="dxa" w:w="60"/>
              <w:right w:type="dxa" w:w="100"/>
            </w:tcMar>
          </w:tcPr>
          <w:p>
            <w:pPr>
              <w:spacing w:after="0"/>
            </w:pPr>
            <w:r>
              <w:rPr>
                <w:b w:val="false"/>
                <w:bCs w:val="false"/>
                <w:sz w:val="18"/>
                <w:szCs w:val="18"/>
              </w:rPr>
              <w:t xml:space="preserve">The multiplier on modelled total costs at which a strategy's net expectancy reaches zero; a fragility measure.</w:t>
            </w:r>
          </w:p>
        </w:tc>
      </w:tr>
    </w:tbl>
    <w:p>
      <w:pPr>
        <w:spacing w:after="120"/>
      </w:pPr>
    </w:p>
    <w:p>
      <w:pPr>
        <w:pStyle w:val="Heading1"/>
        <w:spacing w:after="200" w:before="360"/>
      </w:pPr>
      <w:r>
        <w:t xml:space="preserve">19. Key References</w:t>
      </w:r>
    </w:p>
    <w:p>
      <w:pPr>
        <w:spacing w:after="160" w:line="300"/>
      </w:pPr>
      <w:r>
        <w:rPr>
          <w:sz w:val="22"/>
          <w:szCs w:val="22"/>
        </w:rPr>
        <w:t xml:space="preserve">Bailey, D.H. &amp; López de Prado, M. (2014), "The Deflated Sharpe Ratio", Journal of Portfolio Management 40(5). — Bailey, Borwein, López de Prado &amp; Zhu (2016), "The Probability of Backtest Overfitting", Journal of Computational Finance. — López de Prado, M. (2018), Advances in Financial Machine Learning, Wiley. — Pardo, R. (2008), The Evaluation and Optimization of Trading Strategies. — Gatheral, J. &amp; Jacquier, A. (2014), "Arbitrage-free SVI volatility surfaces", Quantitative Finance 14(1). — Hagan et al. (2002), "Managing Smile Risk" (SABR). — Harvey, C. &amp; Liu, Y., and subsequent rebuttal literature on significance hurdles for new factors (shipped as the two FR-VAL-09 presets). — McLean, R.D. &amp; Pontiff, J. (2016), "Does Academic Research Destroy Stock Return Predictability?", Journal of Finance (the post-publication decay figures behind FR-SIG-08, an equity cross-section result applied here by labelled extrapolation). — Tang et al. (2025), "AlphaAgent: LLM-Driven Alpha Mining with Regularized Exploration to Counteract Alpha Decay", KDD '25; RD-Agent(Q); QuantaAlpha (arXiv 2602.07085); XALPHA (arXiv 2607.08332); FactorMiner (KDD '26) — the agentic alpha-mining cluster informing Section 13. — 2025–26 published work on LLM training-cutoff leakage in backtests (behind FR-AI-08/09). — Industry/practitioner sources on Indian F&amp;O backtest realism and MLOps governance for trading.</w:t>
      </w:r>
    </w:p>
    <w:p>
      <w:r>
        <w:br w:type="page"/>
      </w:r>
    </w:p>
    <w:p>
      <w:pPr>
        <w:pStyle w:val="Heading1"/>
        <w:spacing w:after="200" w:before="360"/>
      </w:pPr>
      <w:r>
        <w:t xml:space="preserve">Appendix A — Disposition of Review Findings (11 Aug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val="clear"/>
            <w:tcMar>
              <w:top w:type="dxa" w:w="60"/>
              <w:left w:type="dxa" w:w="100"/>
              <w:bottom w:type="dxa" w:w="60"/>
              <w:right w:type="dxa" w:w="100"/>
            </w:tcMar>
          </w:tcPr>
          <w:p>
            <w:pPr>
              <w:spacing w:after="0"/>
            </w:pPr>
            <w:r>
              <w:rPr>
                <w:b/>
                <w:bCs/>
                <w:sz w:val="18"/>
                <w:szCs w:val="18"/>
              </w:rPr>
              <w:t xml:space="preserve">Finding</w:t>
            </w:r>
          </w:p>
        </w:tc>
        <w:tc>
          <w:tcPr>
            <w:tcW w:type="dxa" w:w="6160"/>
            <w:shd w:fill="D9E2F3" w:val="clear"/>
            <w:tcMar>
              <w:top w:type="dxa" w:w="60"/>
              <w:left w:type="dxa" w:w="100"/>
              <w:bottom w:type="dxa" w:w="60"/>
              <w:right w:type="dxa" w:w="100"/>
            </w:tcMar>
          </w:tcPr>
          <w:p>
            <w:pPr>
              <w:spacing w:after="0"/>
            </w:pPr>
            <w:r>
              <w:rPr>
                <w:b/>
                <w:bCs/>
                <w:sz w:val="18"/>
                <w:szCs w:val="18"/>
              </w:rPr>
              <w:t xml:space="preserve">Disposition</w:t>
            </w:r>
          </w:p>
        </w:tc>
      </w:tr>
      <w:tr>
        <w:tc>
          <w:tcPr>
            <w:tcW w:type="dxa" w:w="3200"/>
            <w:tcMar>
              <w:top w:type="dxa" w:w="60"/>
              <w:left w:type="dxa" w:w="100"/>
              <w:bottom w:type="dxa" w:w="60"/>
              <w:right w:type="dxa" w:w="100"/>
            </w:tcMar>
          </w:tcPr>
          <w:p>
            <w:pPr>
              <w:spacing w:after="0"/>
            </w:pPr>
            <w:r>
              <w:rPr>
                <w:b/>
                <w:bCs/>
                <w:sz w:val="18"/>
                <w:szCs w:val="18"/>
              </w:rPr>
              <w:t xml:space="preserve">G1 Constraints/assumptions absent; FR-BT-03 hedge</w:t>
            </w:r>
          </w:p>
        </w:tc>
        <w:tc>
          <w:tcPr>
            <w:tcW w:type="dxa" w:w="6160"/>
            <w:tcMar>
              <w:top w:type="dxa" w:w="60"/>
              <w:left w:type="dxa" w:w="100"/>
              <w:bottom w:type="dxa" w:w="60"/>
              <w:right w:type="dxa" w:w="100"/>
            </w:tcMar>
          </w:tcPr>
          <w:p>
            <w:pPr>
              <w:spacing w:after="0"/>
            </w:pPr>
            <w:r>
              <w:rPr>
                <w:b w:val="false"/>
                <w:bCs w:val="false"/>
                <w:sz w:val="18"/>
                <w:szCs w:val="18"/>
              </w:rPr>
              <w:t xml:space="preserve">Accepted. §1.5 added; FR-BT-03 rewritten as an explicit two-branch position on C3 with the fills-model limitations and a revisit clause.</w:t>
            </w:r>
          </w:p>
        </w:tc>
      </w:tr>
      <w:tr>
        <w:tc>
          <w:tcPr>
            <w:tcW w:type="dxa" w:w="3200"/>
            <w:tcMar>
              <w:top w:type="dxa" w:w="60"/>
              <w:left w:type="dxa" w:w="100"/>
              <w:bottom w:type="dxa" w:w="60"/>
              <w:right w:type="dxa" w:w="100"/>
            </w:tcMar>
          </w:tcPr>
          <w:p>
            <w:pPr>
              <w:spacing w:after="0"/>
            </w:pPr>
            <w:r>
              <w:rPr>
                <w:b/>
                <w:bCs/>
                <w:sz w:val="18"/>
                <w:szCs w:val="18"/>
              </w:rPr>
              <w:t xml:space="preserve">G2 Exploration-to-trial boundary</w:t>
            </w:r>
          </w:p>
        </w:tc>
        <w:tc>
          <w:tcPr>
            <w:tcW w:type="dxa" w:w="6160"/>
            <w:tcMar>
              <w:top w:type="dxa" w:w="60"/>
              <w:left w:type="dxa" w:w="100"/>
              <w:bottom w:type="dxa" w:w="60"/>
              <w:right w:type="dxa" w:w="100"/>
            </w:tcMar>
          </w:tcPr>
          <w:p>
            <w:pPr>
              <w:spacing w:after="0"/>
            </w:pPr>
            <w:r>
              <w:rPr>
                <w:b w:val="false"/>
                <w:bCs w:val="false"/>
                <w:sz w:val="18"/>
                <w:szCs w:val="18"/>
              </w:rPr>
              <w:t xml:space="preserve">Accepted. FR-RES-09 added: SDK instrumentation, declared exploration sessions, lower-bound annotation on all DSR/PBO reports.</w:t>
            </w:r>
          </w:p>
        </w:tc>
      </w:tr>
      <w:tr>
        <w:tc>
          <w:tcPr>
            <w:tcW w:type="dxa" w:w="3200"/>
            <w:tcMar>
              <w:top w:type="dxa" w:w="60"/>
              <w:left w:type="dxa" w:w="100"/>
              <w:bottom w:type="dxa" w:w="60"/>
              <w:right w:type="dxa" w:w="100"/>
            </w:tcMar>
          </w:tcPr>
          <w:p>
            <w:pPr>
              <w:spacing w:after="0"/>
            </w:pPr>
            <w:r>
              <w:rPr>
                <w:b/>
                <w:bCs/>
                <w:sz w:val="18"/>
                <w:szCs w:val="18"/>
              </w:rPr>
              <w:t xml:space="preserve">G3 Regulatory epochs not annotated on results</w:t>
            </w:r>
          </w:p>
        </w:tc>
        <w:tc>
          <w:tcPr>
            <w:tcW w:type="dxa" w:w="6160"/>
            <w:tcMar>
              <w:top w:type="dxa" w:w="60"/>
              <w:left w:type="dxa" w:w="100"/>
              <w:bottom w:type="dxa" w:w="60"/>
              <w:right w:type="dxa" w:w="100"/>
            </w:tcMar>
          </w:tcPr>
          <w:p>
            <w:pPr>
              <w:spacing w:after="0"/>
            </w:pPr>
            <w:r>
              <w:rPr>
                <w:b w:val="false"/>
                <w:bCs w:val="false"/>
                <w:sz w:val="18"/>
                <w:szCs w:val="18"/>
              </w:rPr>
              <w:t xml:space="preserve">Accepted. FR-DATA-16 (epoch registry, dates verified against primary circulars before entry) and FR-BT-12 (epoch annotation, no silent pooling) added.</w:t>
            </w:r>
          </w:p>
        </w:tc>
      </w:tr>
      <w:tr>
        <w:tc>
          <w:tcPr>
            <w:tcW w:type="dxa" w:w="3200"/>
            <w:tcMar>
              <w:top w:type="dxa" w:w="60"/>
              <w:left w:type="dxa" w:w="100"/>
              <w:bottom w:type="dxa" w:w="60"/>
              <w:right w:type="dxa" w:w="100"/>
            </w:tcMar>
          </w:tcPr>
          <w:p>
            <w:pPr>
              <w:spacing w:after="0"/>
            </w:pPr>
            <w:r>
              <w:rPr>
                <w:b/>
                <w:bCs/>
                <w:sz w:val="18"/>
                <w:szCs w:val="18"/>
              </w:rPr>
              <w:t xml:space="preserve">G4 Prospective capture / instrument masters</w:t>
            </w:r>
          </w:p>
        </w:tc>
        <w:tc>
          <w:tcPr>
            <w:tcW w:type="dxa" w:w="6160"/>
            <w:tcMar>
              <w:top w:type="dxa" w:w="60"/>
              <w:left w:type="dxa" w:w="100"/>
              <w:bottom w:type="dxa" w:w="60"/>
              <w:right w:type="dxa" w:w="100"/>
            </w:tcMar>
          </w:tcPr>
          <w:p>
            <w:pPr>
              <w:spacing w:after="0"/>
            </w:pPr>
            <w:r>
              <w:rPr>
                <w:b w:val="false"/>
                <w:bCs w:val="false"/>
                <w:sz w:val="18"/>
                <w:szCs w:val="18"/>
              </w:rPr>
              <w:t xml:space="preserve">Accepted. FR-DATA-14/15 added, with the reviewer's own caveat retained: vendor behaviour to be confirmed, but consequence asymmetry favours acting now.</w:t>
            </w:r>
          </w:p>
        </w:tc>
      </w:tr>
      <w:tr>
        <w:tc>
          <w:tcPr>
            <w:tcW w:type="dxa" w:w="3200"/>
            <w:tcMar>
              <w:top w:type="dxa" w:w="60"/>
              <w:left w:type="dxa" w:w="100"/>
              <w:bottom w:type="dxa" w:w="60"/>
              <w:right w:type="dxa" w:w="100"/>
            </w:tcMar>
          </w:tcPr>
          <w:p>
            <w:pPr>
              <w:spacing w:after="0"/>
            </w:pPr>
            <w:r>
              <w:rPr>
                <w:b/>
                <w:bCs/>
                <w:sz w:val="18"/>
                <w:szCs w:val="18"/>
              </w:rPr>
              <w:t xml:space="preserve">G5 LLM parametric look-ahead</w:t>
            </w:r>
          </w:p>
        </w:tc>
        <w:tc>
          <w:tcPr>
            <w:tcW w:type="dxa" w:w="6160"/>
            <w:tcMar>
              <w:top w:type="dxa" w:w="60"/>
              <w:left w:type="dxa" w:w="100"/>
              <w:bottom w:type="dxa" w:w="60"/>
              <w:right w:type="dxa" w:w="100"/>
            </w:tcMar>
          </w:tcPr>
          <w:p>
            <w:pPr>
              <w:spacing w:after="0"/>
            </w:pPr>
            <w:r>
              <w:rPr>
                <w:b w:val="false"/>
                <w:bCs w:val="false"/>
                <w:sz w:val="18"/>
                <w:szCs w:val="18"/>
              </w:rPr>
              <w:t xml:space="preserve">Accepted. FR-AI-08/09 added; glossary entry added.</w:t>
            </w:r>
          </w:p>
        </w:tc>
      </w:tr>
      <w:tr>
        <w:tc>
          <w:tcPr>
            <w:tcW w:type="dxa" w:w="3200"/>
            <w:tcMar>
              <w:top w:type="dxa" w:w="60"/>
              <w:left w:type="dxa" w:w="100"/>
              <w:bottom w:type="dxa" w:w="60"/>
              <w:right w:type="dxa" w:w="100"/>
            </w:tcMar>
          </w:tcPr>
          <w:p>
            <w:pPr>
              <w:spacing w:after="0"/>
            </w:pPr>
            <w:r>
              <w:rPr>
                <w:b/>
                <w:bCs/>
                <w:sz w:val="18"/>
                <w:szCs w:val="18"/>
              </w:rPr>
              <w:t xml:space="preserve">G6 Sizing and capacity missing</w:t>
            </w:r>
          </w:p>
        </w:tc>
        <w:tc>
          <w:tcPr>
            <w:tcW w:type="dxa" w:w="6160"/>
            <w:tcMar>
              <w:top w:type="dxa" w:w="60"/>
              <w:left w:type="dxa" w:w="100"/>
              <w:bottom w:type="dxa" w:w="60"/>
              <w:right w:type="dxa" w:w="100"/>
            </w:tcMar>
          </w:tcPr>
          <w:p>
            <w:pPr>
              <w:spacing w:after="0"/>
            </w:pPr>
            <w:r>
              <w:rPr>
                <w:b w:val="false"/>
                <w:bCs w:val="false"/>
                <w:sz w:val="18"/>
                <w:szCs w:val="18"/>
              </w:rPr>
              <w:t xml:space="preserve">Accepted. New module FR-CAP-01…06; §1.2 scope clarified (research vs. runtime enforcement).</w:t>
            </w:r>
          </w:p>
        </w:tc>
      </w:tr>
      <w:tr>
        <w:tc>
          <w:tcPr>
            <w:tcW w:type="dxa" w:w="3200"/>
            <w:tcMar>
              <w:top w:type="dxa" w:w="60"/>
              <w:left w:type="dxa" w:w="100"/>
              <w:bottom w:type="dxa" w:w="60"/>
              <w:right w:type="dxa" w:w="100"/>
            </w:tcMar>
          </w:tcPr>
          <w:p>
            <w:pPr>
              <w:spacing w:after="0"/>
            </w:pPr>
            <w:r>
              <w:rPr>
                <w:b/>
                <w:bCs/>
                <w:sz w:val="18"/>
                <w:szCs w:val="18"/>
              </w:rPr>
              <w:t xml:space="preserve">G7 Gate thresholds post-hoc; hurdle dispute</w:t>
            </w:r>
          </w:p>
        </w:tc>
        <w:tc>
          <w:tcPr>
            <w:tcW w:type="dxa" w:w="6160"/>
            <w:tcMar>
              <w:top w:type="dxa" w:w="60"/>
              <w:left w:type="dxa" w:w="100"/>
              <w:bottom w:type="dxa" w:w="60"/>
              <w:right w:type="dxa" w:w="100"/>
            </w:tcMar>
          </w:tcPr>
          <w:p>
            <w:pPr>
              <w:spacing w:after="0"/>
            </w:pPr>
            <w:r>
              <w:rPr>
                <w:b w:val="false"/>
                <w:bCs w:val="false"/>
                <w:sz w:val="18"/>
                <w:szCs w:val="18"/>
              </w:rPr>
              <w:t xml:space="preserve">Accepted. FR-VAL-09 added (locked thresholds, new-hypothesis rule for changes, two named hurdle presets).</w:t>
            </w:r>
          </w:p>
        </w:tc>
      </w:tr>
      <w:tr>
        <w:tc>
          <w:tcPr>
            <w:tcW w:type="dxa" w:w="3200"/>
            <w:tcMar>
              <w:top w:type="dxa" w:w="60"/>
              <w:left w:type="dxa" w:w="100"/>
              <w:bottom w:type="dxa" w:w="60"/>
              <w:right w:type="dxa" w:w="100"/>
            </w:tcMar>
          </w:tcPr>
          <w:p>
            <w:pPr>
              <w:spacing w:after="0"/>
            </w:pPr>
            <w:r>
              <w:rPr>
                <w:b/>
                <w:bCs/>
                <w:sz w:val="18"/>
                <w:szCs w:val="18"/>
              </w:rPr>
              <w:t xml:space="preserve">G8 No fit criteria / verification section</w:t>
            </w:r>
          </w:p>
        </w:tc>
        <w:tc>
          <w:tcPr>
            <w:tcW w:type="dxa" w:w="6160"/>
            <w:tcMar>
              <w:top w:type="dxa" w:w="60"/>
              <w:left w:type="dxa" w:w="100"/>
              <w:bottom w:type="dxa" w:w="60"/>
              <w:right w:type="dxa" w:w="100"/>
            </w:tcMar>
          </w:tcPr>
          <w:p>
            <w:pPr>
              <w:spacing w:after="0"/>
            </w:pPr>
            <w:r>
              <w:rPr>
                <w:b w:val="false"/>
                <w:bCs w:val="false"/>
                <w:sz w:val="18"/>
                <w:szCs w:val="18"/>
              </w:rPr>
              <w:t xml:space="preserve">Partially accepted. Per-module verification methods added (§1.4); the four requirements named as untestable rewritten with fit criteria; negative controls required for detectors. Full per-requirement 29148-style fit criteria deferred to phase specifications — writing ~100 before the MCC exists is ceremony; position recorded in §1.4.</w:t>
            </w:r>
          </w:p>
        </w:tc>
      </w:tr>
      <w:tr>
        <w:tc>
          <w:tcPr>
            <w:tcW w:type="dxa" w:w="3200"/>
            <w:tcMar>
              <w:top w:type="dxa" w:w="60"/>
              <w:left w:type="dxa" w:w="100"/>
              <w:bottom w:type="dxa" w:w="60"/>
              <w:right w:type="dxa" w:w="100"/>
            </w:tcMar>
          </w:tcPr>
          <w:p>
            <w:pPr>
              <w:spacing w:after="0"/>
            </w:pPr>
            <w:r>
              <w:rPr>
                <w:b/>
                <w:bCs/>
                <w:sz w:val="18"/>
                <w:szCs w:val="18"/>
              </w:rPr>
              <w:t xml:space="preserve">G9 No backup/durability</w:t>
            </w:r>
          </w:p>
        </w:tc>
        <w:tc>
          <w:tcPr>
            <w:tcW w:type="dxa" w:w="6160"/>
            <w:tcMar>
              <w:top w:type="dxa" w:w="60"/>
              <w:left w:type="dxa" w:w="100"/>
              <w:bottom w:type="dxa" w:w="60"/>
              <w:right w:type="dxa" w:w="100"/>
            </w:tcMar>
          </w:tcPr>
          <w:p>
            <w:pPr>
              <w:spacing w:after="0"/>
            </w:pPr>
            <w:r>
              <w:rPr>
                <w:b w:val="false"/>
                <w:bCs w:val="false"/>
                <w:sz w:val="18"/>
                <w:szCs w:val="18"/>
              </w:rPr>
              <w:t xml:space="preserve">Accepted. NFR-07 (durability/recovery) and NFR-08 (tamper-evidence, hash-chaining) added.</w:t>
            </w:r>
          </w:p>
        </w:tc>
      </w:tr>
      <w:tr>
        <w:tc>
          <w:tcPr>
            <w:tcW w:type="dxa" w:w="3200"/>
            <w:tcMar>
              <w:top w:type="dxa" w:w="60"/>
              <w:left w:type="dxa" w:w="100"/>
              <w:bottom w:type="dxa" w:w="60"/>
              <w:right w:type="dxa" w:w="100"/>
            </w:tcMar>
          </w:tcPr>
          <w:p>
            <w:pPr>
              <w:spacing w:after="0"/>
            </w:pPr>
            <w:r>
              <w:rPr>
                <w:b/>
                <w:bCs/>
                <w:sz w:val="18"/>
                <w:szCs w:val="18"/>
              </w:rPr>
              <w:t xml:space="preserve">G10 Survivorship, multiple testing, MinBTL, kill criteria, decay haircut, licensing</w:t>
            </w:r>
          </w:p>
        </w:tc>
        <w:tc>
          <w:tcPr>
            <w:tcW w:type="dxa" w:w="6160"/>
            <w:tcMar>
              <w:top w:type="dxa" w:w="60"/>
              <w:left w:type="dxa" w:w="100"/>
              <w:bottom w:type="dxa" w:w="60"/>
              <w:right w:type="dxa" w:w="100"/>
            </w:tcMar>
          </w:tcPr>
          <w:p>
            <w:pPr>
              <w:spacing w:after="0"/>
            </w:pPr>
            <w:r>
              <w:rPr>
                <w:b w:val="false"/>
                <w:bCs w:val="false"/>
                <w:sz w:val="18"/>
                <w:szCs w:val="18"/>
              </w:rPr>
              <w:t xml:space="preserve">Accepted. FR-DATA-17, FR-VAL-10, FR-VAL-11, FR-MON-09, FR-SIG-08 (with the extrapolation label), NFR-10 added.</w:t>
            </w:r>
          </w:p>
        </w:tc>
      </w:tr>
      <w:tr>
        <w:tc>
          <w:tcPr>
            <w:tcW w:type="dxa" w:w="3200"/>
            <w:tcMar>
              <w:top w:type="dxa" w:w="60"/>
              <w:left w:type="dxa" w:w="100"/>
              <w:bottom w:type="dxa" w:w="60"/>
              <w:right w:type="dxa" w:w="100"/>
            </w:tcMar>
          </w:tcPr>
          <w:p>
            <w:pPr>
              <w:spacing w:after="0"/>
            </w:pPr>
            <w:r>
              <w:rPr>
                <w:b/>
                <w:bCs/>
                <w:sz w:val="18"/>
                <w:szCs w:val="18"/>
              </w:rPr>
              <w:t xml:space="preserve">D1 MoSCoW collapse</w:t>
            </w:r>
          </w:p>
        </w:tc>
        <w:tc>
          <w:tcPr>
            <w:tcW w:type="dxa" w:w="6160"/>
            <w:tcMar>
              <w:top w:type="dxa" w:w="60"/>
              <w:left w:type="dxa" w:w="100"/>
              <w:bottom w:type="dxa" w:w="60"/>
              <w:right w:type="dxa" w:w="100"/>
            </w:tcMar>
          </w:tcPr>
          <w:p>
            <w:pPr>
              <w:spacing w:after="0"/>
            </w:pPr>
            <w:r>
              <w:rPr>
                <w:b w:val="false"/>
                <w:bCs w:val="false"/>
                <w:sz w:val="18"/>
                <w:szCs w:val="18"/>
              </w:rPr>
              <w:t xml:space="preserve">Partially accepted. MoSCoW re-scoped to the Phase 1 timebox (§1.4); Minimal Credible Core defined (§16); FR-DATA-06 demoted per D3. Rejected: per-requirement satisfaction/dissatisfaction pairs — for a single-operator document the MCC forces the same trade-off with far less table ceremony.</w:t>
            </w:r>
          </w:p>
        </w:tc>
      </w:tr>
      <w:tr>
        <w:tc>
          <w:tcPr>
            <w:tcW w:type="dxa" w:w="3200"/>
            <w:tcMar>
              <w:top w:type="dxa" w:w="60"/>
              <w:left w:type="dxa" w:w="100"/>
              <w:bottom w:type="dxa" w:w="60"/>
              <w:right w:type="dxa" w:w="100"/>
            </w:tcMar>
          </w:tcPr>
          <w:p>
            <w:pPr>
              <w:spacing w:after="0"/>
            </w:pPr>
            <w:r>
              <w:rPr>
                <w:b/>
                <w:bCs/>
                <w:sz w:val="18"/>
                <w:szCs w:val="18"/>
              </w:rPr>
              <w:t xml:space="preserve">D2 Effort estimates assume a team</w:t>
            </w:r>
          </w:p>
        </w:tc>
        <w:tc>
          <w:tcPr>
            <w:tcW w:type="dxa" w:w="6160"/>
            <w:tcMar>
              <w:top w:type="dxa" w:w="60"/>
              <w:left w:type="dxa" w:w="100"/>
              <w:bottom w:type="dxa" w:w="60"/>
              <w:right w:type="dxa" w:w="100"/>
            </w:tcMar>
          </w:tcPr>
          <w:p>
            <w:pPr>
              <w:spacing w:after="0"/>
            </w:pPr>
            <w:r>
              <w:rPr>
                <w:b w:val="false"/>
                <w:bCs w:val="false"/>
                <w:sz w:val="18"/>
                <w:szCs w:val="18"/>
              </w:rPr>
              <w:t xml:space="preserve">Accepted. §17 restated as bands with the capacity assumption named, including the AI-assisted-solo position between bands.</w:t>
            </w:r>
          </w:p>
        </w:tc>
      </w:tr>
      <w:tr>
        <w:tc>
          <w:tcPr>
            <w:tcW w:type="dxa" w:w="3200"/>
            <w:tcMar>
              <w:top w:type="dxa" w:w="60"/>
              <w:left w:type="dxa" w:w="100"/>
              <w:bottom w:type="dxa" w:w="60"/>
              <w:right w:type="dxa" w:w="100"/>
            </w:tcMar>
          </w:tcPr>
          <w:p>
            <w:pPr>
              <w:spacing w:after="0"/>
            </w:pPr>
            <w:r>
              <w:rPr>
                <w:b/>
                <w:bCs/>
                <w:sz w:val="18"/>
                <w:szCs w:val="18"/>
              </w:rPr>
              <w:t xml:space="preserve">D3 Surface fitting priority; vendor reconciliation</w:t>
            </w:r>
          </w:p>
        </w:tc>
        <w:tc>
          <w:tcPr>
            <w:tcW w:type="dxa" w:w="6160"/>
            <w:tcMar>
              <w:top w:type="dxa" w:w="60"/>
              <w:left w:type="dxa" w:w="100"/>
              <w:bottom w:type="dxa" w:w="60"/>
              <w:right w:type="dxa" w:w="100"/>
            </w:tcMar>
          </w:tcPr>
          <w:p>
            <w:pPr>
              <w:spacing w:after="0"/>
            </w:pPr>
            <w:r>
              <w:rPr>
                <w:b w:val="false"/>
                <w:bCs w:val="false"/>
                <w:sz w:val="18"/>
                <w:szCs w:val="18"/>
              </w:rPr>
              <w:t xml:space="preserve">Accepted. FR-DATA-06 → Should with configurable fitting frequency; second-order Greeks → Could; FR-DATA-18 (reconciliation) added.</w:t>
            </w:r>
          </w:p>
        </w:tc>
      </w:tr>
      <w:tr>
        <w:tc>
          <w:tcPr>
            <w:tcW w:type="dxa" w:w="3200"/>
            <w:tcMar>
              <w:top w:type="dxa" w:w="60"/>
              <w:left w:type="dxa" w:w="100"/>
              <w:bottom w:type="dxa" w:w="60"/>
              <w:right w:type="dxa" w:w="100"/>
            </w:tcMar>
          </w:tcPr>
          <w:p>
            <w:pPr>
              <w:spacing w:after="0"/>
            </w:pPr>
            <w:r>
              <w:rPr>
                <w:b/>
                <w:bCs/>
                <w:sz w:val="18"/>
                <w:szCs w:val="18"/>
              </w:rPr>
              <w:t xml:space="preserve">D4 Tick extensibility speculative</w:t>
            </w:r>
          </w:p>
        </w:tc>
        <w:tc>
          <w:tcPr>
            <w:tcW w:type="dxa" w:w="6160"/>
            <w:tcMar>
              <w:top w:type="dxa" w:w="60"/>
              <w:left w:type="dxa" w:w="100"/>
              <w:bottom w:type="dxa" w:w="60"/>
              <w:right w:type="dxa" w:w="100"/>
            </w:tcMar>
          </w:tcPr>
          <w:p>
            <w:pPr>
              <w:spacing w:after="0"/>
            </w:pPr>
            <w:r>
              <w:rPr>
                <w:b w:val="false"/>
                <w:bCs w:val="false"/>
                <w:sz w:val="18"/>
                <w:szCs w:val="18"/>
              </w:rPr>
              <w:t xml:space="preserve">Accepted with modified remedy: moved to Constraints as assumption C5 (tick is genuinely anticipated by the operator) rather than deleted.</w:t>
            </w:r>
          </w:p>
        </w:tc>
      </w:tr>
      <w:tr>
        <w:tc>
          <w:tcPr>
            <w:tcW w:type="dxa" w:w="3200"/>
            <w:tcMar>
              <w:top w:type="dxa" w:w="60"/>
              <w:left w:type="dxa" w:w="100"/>
              <w:bottom w:type="dxa" w:w="60"/>
              <w:right w:type="dxa" w:w="100"/>
            </w:tcMar>
          </w:tcPr>
          <w:p>
            <w:pPr>
              <w:spacing w:after="0"/>
            </w:pPr>
            <w:r>
              <w:rPr>
                <w:b/>
                <w:bCs/>
                <w:sz w:val="18"/>
                <w:szCs w:val="18"/>
              </w:rPr>
              <w:t xml:space="preserve">D5 Isolation claim; NFR-03 contention</w:t>
            </w:r>
          </w:p>
        </w:tc>
        <w:tc>
          <w:tcPr>
            <w:tcW w:type="dxa" w:w="6160"/>
            <w:tcMar>
              <w:top w:type="dxa" w:w="60"/>
              <w:left w:type="dxa" w:w="100"/>
              <w:bottom w:type="dxa" w:w="60"/>
              <w:right w:type="dxa" w:w="100"/>
            </w:tcMar>
          </w:tcPr>
          <w:p>
            <w:pPr>
              <w:spacing w:after="0"/>
            </w:pPr>
            <w:r>
              <w:rPr>
                <w:b w:val="false"/>
                <w:bCs w:val="false"/>
                <w:sz w:val="18"/>
                <w:szCs w:val="18"/>
              </w:rPr>
              <w:t xml:space="preserve">Accepted. FR-RES-05 reworded as partitioning; NFR-09 added; NFR-03 states its contention assumption.</w:t>
            </w:r>
          </w:p>
        </w:tc>
      </w:tr>
      <w:tr>
        <w:tc>
          <w:tcPr>
            <w:tcW w:type="dxa" w:w="3200"/>
            <w:tcMar>
              <w:top w:type="dxa" w:w="60"/>
              <w:left w:type="dxa" w:w="100"/>
              <w:bottom w:type="dxa" w:w="60"/>
              <w:right w:type="dxa" w:w="100"/>
            </w:tcMar>
          </w:tcPr>
          <w:p>
            <w:pPr>
              <w:spacing w:after="0"/>
            </w:pPr>
            <w:r>
              <w:rPr>
                <w:b/>
                <w:bCs/>
                <w:sz w:val="18"/>
                <w:szCs w:val="18"/>
              </w:rPr>
              <w:t xml:space="preserve">D6 AI citations unverified; open problem unstated</w:t>
            </w:r>
          </w:p>
        </w:tc>
        <w:tc>
          <w:tcPr>
            <w:tcW w:type="dxa" w:w="6160"/>
            <w:tcMar>
              <w:top w:type="dxa" w:w="60"/>
              <w:left w:type="dxa" w:w="100"/>
              <w:bottom w:type="dxa" w:w="60"/>
              <w:right w:type="dxa" w:w="100"/>
            </w:tcMar>
          </w:tcPr>
          <w:p>
            <w:pPr>
              <w:spacing w:after="0"/>
            </w:pPr>
            <w:r>
              <w:rPr>
                <w:b w:val="false"/>
                <w:bCs w:val="false"/>
                <w:sz w:val="18"/>
                <w:szCs w:val="18"/>
              </w:rPr>
              <w:t xml:space="preserve">Partially accepted, partially rejected. Rejected: the claim that RD-Agent(Q), QuantaAlpha, XALPHA and FactorMiner could not be confirmed — all four were located in retrievable sources during drafting (arXiv 2602.07085, arXiv 2607.08332, KDD '26 proceedings, and cross-citations), and identifiers are now in §19 to make verification trivial. Chain-of-Alpha was never cited. Accepted: the open-problem statement (machine-scale search vs. DSR/PBO corrections) is now recorded in §13, and FR-AI-06 is labelled a position taken absent established practice.</w:t>
            </w:r>
          </w:p>
        </w:tc>
      </w:tr>
      <w:tr>
        <w:tc>
          <w:tcPr>
            <w:tcW w:type="dxa" w:w="3200"/>
            <w:tcMar>
              <w:top w:type="dxa" w:w="60"/>
              <w:left w:type="dxa" w:w="100"/>
              <w:bottom w:type="dxa" w:w="60"/>
              <w:right w:type="dxa" w:w="100"/>
            </w:tcMar>
          </w:tcPr>
          <w:p>
            <w:pPr>
              <w:spacing w:after="0"/>
            </w:pPr>
            <w:r>
              <w:rPr>
                <w:b/>
                <w:bCs/>
                <w:sz w:val="18"/>
                <w:szCs w:val="18"/>
              </w:rPr>
              <w:t xml:space="preserve">D7 "Won't" defined, never used</w:t>
            </w:r>
          </w:p>
        </w:tc>
        <w:tc>
          <w:tcPr>
            <w:tcW w:type="dxa" w:w="6160"/>
            <w:tcMar>
              <w:top w:type="dxa" w:w="60"/>
              <w:left w:type="dxa" w:w="100"/>
              <w:bottom w:type="dxa" w:w="60"/>
              <w:right w:type="dxa" w:w="100"/>
            </w:tcMar>
          </w:tcPr>
          <w:p>
            <w:pPr>
              <w:spacing w:after="0"/>
            </w:pPr>
            <w:r>
              <w:rPr>
                <w:b w:val="false"/>
                <w:bCs w:val="false"/>
                <w:sz w:val="18"/>
                <w:szCs w:val="18"/>
              </w:rPr>
              <w:t xml:space="preserve">Accepted. §1.2.1 explicit exclusions added.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2026-08-11T20:05:25.333Z</dcterms:created>
  <dcterms:modified xsi:type="dcterms:W3CDTF">2026-08-11T20:05:25.349Z</dcterms:modified>
</cp:coreProperties>
</file>

<file path=docProps/custom.xml><?xml version="1.0" encoding="utf-8"?>
<Properties xmlns="http://schemas.openxmlformats.org/officeDocument/2006/custom-properties" xmlns:vt="http://schemas.openxmlformats.org/officeDocument/2006/docPropsVTypes"/>
</file>