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7E56F6" w14:textId="77777777" w:rsidR="008A157F" w:rsidRPr="008A157F" w:rsidRDefault="008A157F" w:rsidP="008A157F">
      <w:pPr>
        <w:pStyle w:val="Heading1"/>
        <w:shd w:val="clear" w:color="auto" w:fill="FFFFFF"/>
        <w:spacing w:before="0" w:beforeAutospacing="0" w:after="150" w:afterAutospacing="0"/>
        <w:jc w:val="center"/>
        <w:rPr>
          <w:rFonts w:asciiTheme="minorHAnsi" w:hAnsiTheme="minorHAnsi" w:cstheme="minorHAnsi"/>
          <w:color w:val="000000"/>
          <w:spacing w:val="-10"/>
          <w:sz w:val="28"/>
          <w:szCs w:val="28"/>
        </w:rPr>
      </w:pPr>
      <w:r w:rsidRPr="008A157F">
        <w:rPr>
          <w:rFonts w:asciiTheme="minorHAnsi" w:hAnsiTheme="minorHAnsi" w:cstheme="minorHAnsi"/>
          <w:color w:val="000000"/>
          <w:spacing w:val="-10"/>
          <w:sz w:val="28"/>
          <w:szCs w:val="28"/>
          <w:highlight w:val="yellow"/>
        </w:rPr>
        <w:t>SQL Server 2014 Licensing</w:t>
      </w:r>
    </w:p>
    <w:p w14:paraId="5703A72A" w14:textId="57AD424F" w:rsidR="008A157F" w:rsidRPr="008A157F" w:rsidRDefault="008A157F" w:rsidP="000A6870">
      <w:pPr>
        <w:pStyle w:val="Heading3"/>
        <w:shd w:val="clear" w:color="auto" w:fill="FFFFFF"/>
        <w:spacing w:before="300" w:after="120"/>
        <w:jc w:val="center"/>
        <w:rPr>
          <w:rFonts w:asciiTheme="minorHAnsi" w:hAnsiTheme="minorHAnsi" w:cstheme="minorHAnsi"/>
          <w:sz w:val="18"/>
          <w:szCs w:val="18"/>
        </w:rPr>
      </w:pPr>
      <w:hyperlink r:id="rId5" w:history="1">
        <w:r w:rsidRPr="008A157F">
          <w:rPr>
            <w:rStyle w:val="Hyperlink"/>
            <w:rFonts w:asciiTheme="minorHAnsi" w:hAnsiTheme="minorHAnsi" w:cstheme="minorHAnsi"/>
            <w:sz w:val="18"/>
            <w:szCs w:val="18"/>
          </w:rPr>
          <w:t>https://www.faceofit.com/sql-server-2014-licensing/</w:t>
        </w:r>
      </w:hyperlink>
    </w:p>
    <w:p w14:paraId="78D28EDC"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SQL Server 2014 Licensing has become complex over the years, especially when Microsoft decided to move from CPU Socket based licensing to CPU Core based Licensing with SQL 2012 onward.</w:t>
      </w:r>
    </w:p>
    <w:p w14:paraId="40BF7D1E"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The current version of SQL Server is SQL 2014, with SQL 2016 to be released shortly. </w:t>
      </w:r>
    </w:p>
    <w:p w14:paraId="0D2FB0A8"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So, </w:t>
      </w:r>
      <w:proofErr w:type="spellStart"/>
      <w:r w:rsidRPr="008A157F">
        <w:rPr>
          <w:rFonts w:asciiTheme="minorHAnsi" w:hAnsiTheme="minorHAnsi" w:cstheme="minorHAnsi"/>
          <w:color w:val="555555"/>
          <w:sz w:val="20"/>
          <w:szCs w:val="20"/>
        </w:rPr>
        <w:t>lets</w:t>
      </w:r>
      <w:proofErr w:type="spellEnd"/>
      <w:r w:rsidRPr="008A157F">
        <w:rPr>
          <w:rFonts w:asciiTheme="minorHAnsi" w:hAnsiTheme="minorHAnsi" w:cstheme="minorHAnsi"/>
          <w:color w:val="555555"/>
          <w:sz w:val="20"/>
          <w:szCs w:val="20"/>
        </w:rPr>
        <w:t xml:space="preserve"> talk about SQL 2014 and its Licensing methodology.</w:t>
      </w:r>
    </w:p>
    <w:p w14:paraId="7998DED1"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Currently, we have the SQL Server versions:</w:t>
      </w:r>
    </w:p>
    <w:p w14:paraId="78A8E432" w14:textId="42852482"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Pr>
          <w:noProof/>
        </w:rPr>
        <w:drawing>
          <wp:inline distT="0" distB="0" distL="0" distR="0" wp14:anchorId="08D66732" wp14:editId="3890E45A">
            <wp:extent cx="6696710" cy="217868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96710" cy="2178685"/>
                    </a:xfrm>
                    <a:prstGeom prst="rect">
                      <a:avLst/>
                    </a:prstGeom>
                  </pic:spPr>
                </pic:pic>
              </a:graphicData>
            </a:graphic>
          </wp:inline>
        </w:drawing>
      </w:r>
    </w:p>
    <w:p w14:paraId="02473E24"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555555"/>
          <w:sz w:val="20"/>
          <w:szCs w:val="20"/>
        </w:rPr>
        <w:t>SQL Server Express Edition</w:t>
      </w:r>
      <w:r w:rsidRPr="008A157F">
        <w:rPr>
          <w:rFonts w:asciiTheme="minorHAnsi" w:hAnsiTheme="minorHAnsi" w:cstheme="minorHAnsi"/>
          <w:b/>
          <w:bCs/>
          <w:i/>
          <w:iCs/>
          <w:color w:val="555555"/>
          <w:sz w:val="20"/>
          <w:szCs w:val="20"/>
        </w:rPr>
        <w:t> is a free </w:t>
      </w:r>
      <w:r w:rsidRPr="008A157F">
        <w:rPr>
          <w:rStyle w:val="Strong"/>
          <w:rFonts w:asciiTheme="minorHAnsi" w:hAnsiTheme="minorHAnsi" w:cstheme="minorHAnsi"/>
          <w:i/>
          <w:iCs/>
          <w:color w:val="FF0000"/>
          <w:sz w:val="20"/>
          <w:szCs w:val="20"/>
        </w:rPr>
        <w:t>Re-Distributable</w:t>
      </w:r>
      <w:r w:rsidRPr="008A157F">
        <w:rPr>
          <w:rFonts w:asciiTheme="minorHAnsi" w:hAnsiTheme="minorHAnsi" w:cstheme="minorHAnsi"/>
          <w:b/>
          <w:bCs/>
          <w:i/>
          <w:iCs/>
          <w:color w:val="555555"/>
          <w:sz w:val="20"/>
          <w:szCs w:val="20"/>
        </w:rPr>
        <w:t> package. Which means, you can distribute this package as many times as you want, without the need to buy any license. It’s a Free Download!</w:t>
      </w:r>
    </w:p>
    <w:p w14:paraId="022794D1"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b/>
          <w:bCs/>
          <w:i/>
          <w:iCs/>
          <w:color w:val="555555"/>
          <w:sz w:val="20"/>
          <w:szCs w:val="20"/>
        </w:rPr>
      </w:pPr>
      <w:r w:rsidRPr="008A157F">
        <w:rPr>
          <w:rFonts w:asciiTheme="minorHAnsi" w:hAnsiTheme="minorHAnsi" w:cstheme="minorHAnsi"/>
          <w:b/>
          <w:bCs/>
          <w:i/>
          <w:iCs/>
          <w:color w:val="555555"/>
          <w:sz w:val="20"/>
          <w:szCs w:val="20"/>
        </w:rPr>
        <w:t>SQL Server Web Edition is a special edition of SQL Server </w:t>
      </w:r>
      <w:r w:rsidRPr="008A157F">
        <w:rPr>
          <w:rStyle w:val="Strong"/>
          <w:rFonts w:asciiTheme="minorHAnsi" w:hAnsiTheme="minorHAnsi" w:cstheme="minorHAnsi"/>
          <w:i/>
          <w:iCs/>
          <w:color w:val="FF0000"/>
          <w:sz w:val="20"/>
          <w:szCs w:val="20"/>
        </w:rPr>
        <w:t>only available to Web Hosting companies</w:t>
      </w:r>
      <w:r w:rsidRPr="008A157F">
        <w:rPr>
          <w:rFonts w:asciiTheme="minorHAnsi" w:hAnsiTheme="minorHAnsi" w:cstheme="minorHAnsi"/>
          <w:b/>
          <w:bCs/>
          <w:i/>
          <w:iCs/>
          <w:color w:val="555555"/>
          <w:sz w:val="20"/>
          <w:szCs w:val="20"/>
        </w:rPr>
        <w:t> under a SPLA License.</w:t>
      </w:r>
    </w:p>
    <w:p w14:paraId="4384D013"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Fonts w:asciiTheme="minorHAnsi" w:hAnsiTheme="minorHAnsi" w:cstheme="minorHAnsi"/>
          <w:b/>
          <w:bCs/>
          <w:i/>
          <w:iCs/>
          <w:color w:val="555555"/>
          <w:sz w:val="20"/>
          <w:szCs w:val="20"/>
        </w:rPr>
        <w:t>Parallel Data Warehouse Edition </w:t>
      </w:r>
      <w:r w:rsidRPr="008A157F">
        <w:rPr>
          <w:rStyle w:val="Strong"/>
          <w:rFonts w:asciiTheme="minorHAnsi" w:hAnsiTheme="minorHAnsi" w:cstheme="minorHAnsi"/>
          <w:i/>
          <w:iCs/>
          <w:color w:val="FF0000"/>
          <w:sz w:val="20"/>
          <w:szCs w:val="20"/>
        </w:rPr>
        <w:t>comes bundled with a Database Appliance</w:t>
      </w:r>
      <w:r w:rsidRPr="008A157F">
        <w:rPr>
          <w:rFonts w:asciiTheme="minorHAnsi" w:hAnsiTheme="minorHAnsi" w:cstheme="minorHAnsi"/>
          <w:b/>
          <w:bCs/>
          <w:i/>
          <w:iCs/>
          <w:color w:val="555555"/>
          <w:sz w:val="20"/>
          <w:szCs w:val="20"/>
        </w:rPr>
        <w:t> with comes pre-loaded directly from the vendor. (Dell, HP or EMC).</w:t>
      </w:r>
    </w:p>
    <w:p w14:paraId="592F3194"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proofErr w:type="gramStart"/>
      <w:r w:rsidRPr="008A157F">
        <w:rPr>
          <w:rFonts w:asciiTheme="minorHAnsi" w:hAnsiTheme="minorHAnsi" w:cstheme="minorHAnsi"/>
          <w:color w:val="555555"/>
          <w:sz w:val="20"/>
          <w:szCs w:val="20"/>
        </w:rPr>
        <w:t>So</w:t>
      </w:r>
      <w:proofErr w:type="gramEnd"/>
      <w:r w:rsidRPr="008A157F">
        <w:rPr>
          <w:rFonts w:asciiTheme="minorHAnsi" w:hAnsiTheme="minorHAnsi" w:cstheme="minorHAnsi"/>
          <w:color w:val="555555"/>
          <w:sz w:val="20"/>
          <w:szCs w:val="20"/>
        </w:rPr>
        <w:t xml:space="preserve"> keeping these options aside, let us focus on the Core versions of SQL Server which would be the choice for the majority of you.</w:t>
      </w:r>
    </w:p>
    <w:p w14:paraId="028DD44F"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They are,</w:t>
      </w:r>
    </w:p>
    <w:p w14:paraId="16169080" w14:textId="77777777" w:rsidR="008A157F" w:rsidRPr="008A157F" w:rsidRDefault="008A157F" w:rsidP="008A157F">
      <w:pPr>
        <w:numPr>
          <w:ilvl w:val="0"/>
          <w:numId w:val="28"/>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SQL Server Standard Edition.</w:t>
      </w:r>
    </w:p>
    <w:p w14:paraId="7AB24202" w14:textId="77777777" w:rsidR="008A157F" w:rsidRPr="008A157F" w:rsidRDefault="008A157F" w:rsidP="008A157F">
      <w:pPr>
        <w:numPr>
          <w:ilvl w:val="0"/>
          <w:numId w:val="28"/>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SQL Server Business Intelligence Edition.</w:t>
      </w:r>
    </w:p>
    <w:p w14:paraId="239B50D2" w14:textId="77777777" w:rsidR="008A157F" w:rsidRPr="008A157F" w:rsidRDefault="008A157F" w:rsidP="008A157F">
      <w:pPr>
        <w:numPr>
          <w:ilvl w:val="0"/>
          <w:numId w:val="28"/>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SQL Server Developer Edition.</w:t>
      </w:r>
    </w:p>
    <w:p w14:paraId="18785924" w14:textId="77777777" w:rsidR="008A157F" w:rsidRPr="008A157F" w:rsidRDefault="008A157F" w:rsidP="008A157F">
      <w:pPr>
        <w:numPr>
          <w:ilvl w:val="0"/>
          <w:numId w:val="28"/>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SQL Server Enterprise Edition.</w:t>
      </w:r>
    </w:p>
    <w:p w14:paraId="5C006D2E"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Style w:val="Strong"/>
          <w:rFonts w:asciiTheme="minorHAnsi" w:hAnsiTheme="minorHAnsi" w:cstheme="minorHAnsi"/>
          <w:color w:val="555555"/>
          <w:sz w:val="20"/>
          <w:szCs w:val="20"/>
          <w:u w:val="single"/>
        </w:rPr>
        <w:t>SQL Server Standard Edition:</w:t>
      </w:r>
      <w:r w:rsidRPr="008A157F">
        <w:rPr>
          <w:rFonts w:asciiTheme="minorHAnsi" w:hAnsiTheme="minorHAnsi" w:cstheme="minorHAnsi"/>
          <w:color w:val="555555"/>
          <w:sz w:val="20"/>
          <w:szCs w:val="20"/>
        </w:rPr>
        <w:t> This is the only edition which can be bought under </w:t>
      </w:r>
      <w:hyperlink r:id="rId7" w:history="1">
        <w:r w:rsidRPr="008A157F">
          <w:rPr>
            <w:rStyle w:val="Strong"/>
            <w:rFonts w:asciiTheme="minorHAnsi" w:hAnsiTheme="minorHAnsi" w:cstheme="minorHAnsi"/>
            <w:color w:val="0000FF"/>
            <w:sz w:val="20"/>
            <w:szCs w:val="20"/>
          </w:rPr>
          <w:t>Server/User</w:t>
        </w:r>
        <w:r w:rsidRPr="008A157F">
          <w:rPr>
            <w:rStyle w:val="Hyperlink"/>
            <w:rFonts w:asciiTheme="minorHAnsi" w:hAnsiTheme="minorHAnsi" w:cstheme="minorHAnsi"/>
            <w:sz w:val="20"/>
            <w:szCs w:val="20"/>
          </w:rPr>
          <w:t> or </w:t>
        </w:r>
        <w:r w:rsidRPr="008A157F">
          <w:rPr>
            <w:rStyle w:val="Strong"/>
            <w:rFonts w:asciiTheme="minorHAnsi" w:hAnsiTheme="minorHAnsi" w:cstheme="minorHAnsi"/>
            <w:color w:val="0000FF"/>
            <w:sz w:val="20"/>
            <w:szCs w:val="20"/>
          </w:rPr>
          <w:t>Server/Device CAL</w:t>
        </w:r>
      </w:hyperlink>
      <w:r w:rsidRPr="008A157F">
        <w:rPr>
          <w:rFonts w:asciiTheme="minorHAnsi" w:hAnsiTheme="minorHAnsi" w:cstheme="minorHAnsi"/>
          <w:color w:val="555555"/>
          <w:sz w:val="20"/>
          <w:szCs w:val="20"/>
        </w:rPr>
        <w:t> (Client Access License) based Licensing as well as </w:t>
      </w:r>
      <w:hyperlink r:id="rId8" w:history="1">
        <w:r w:rsidRPr="008A157F">
          <w:rPr>
            <w:rStyle w:val="Strong"/>
            <w:rFonts w:asciiTheme="minorHAnsi" w:hAnsiTheme="minorHAnsi" w:cstheme="minorHAnsi"/>
            <w:color w:val="0000FF"/>
            <w:sz w:val="20"/>
            <w:szCs w:val="20"/>
          </w:rPr>
          <w:t>CPU Core based Licenses</w:t>
        </w:r>
        <w:r w:rsidRPr="008A157F">
          <w:rPr>
            <w:rStyle w:val="Hyperlink"/>
            <w:rFonts w:asciiTheme="minorHAnsi" w:hAnsiTheme="minorHAnsi" w:cstheme="minorHAnsi"/>
            <w:sz w:val="20"/>
            <w:szCs w:val="20"/>
          </w:rPr>
          <w:t>.</w:t>
        </w:r>
      </w:hyperlink>
    </w:p>
    <w:p w14:paraId="176952E8"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You can buy Standard Edition under Retail, Volume Licensing (Open, Select+ EA/EAS/SCE) or Third Party (ISVR &amp; SPLA).</w:t>
      </w:r>
    </w:p>
    <w:p w14:paraId="3E9E55EA"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Style w:val="Strong"/>
          <w:rFonts w:asciiTheme="minorHAnsi" w:hAnsiTheme="minorHAnsi" w:cstheme="minorHAnsi"/>
          <w:color w:val="555555"/>
          <w:sz w:val="20"/>
          <w:szCs w:val="20"/>
          <w:u w:val="single"/>
        </w:rPr>
        <w:t>SQL Server Business Intelligence Edition:</w:t>
      </w:r>
      <w:r w:rsidRPr="008A157F">
        <w:rPr>
          <w:rStyle w:val="Strong"/>
          <w:rFonts w:asciiTheme="minorHAnsi" w:hAnsiTheme="minorHAnsi" w:cstheme="minorHAnsi"/>
          <w:color w:val="555555"/>
          <w:sz w:val="20"/>
          <w:szCs w:val="20"/>
        </w:rPr>
        <w:t> </w:t>
      </w:r>
      <w:r w:rsidRPr="008A157F">
        <w:rPr>
          <w:rFonts w:asciiTheme="minorHAnsi" w:hAnsiTheme="minorHAnsi" w:cstheme="minorHAnsi"/>
          <w:color w:val="555555"/>
          <w:sz w:val="20"/>
          <w:szCs w:val="20"/>
        </w:rPr>
        <w:t>This edition of SQL Server is </w:t>
      </w:r>
      <w:r w:rsidRPr="008A157F">
        <w:rPr>
          <w:rStyle w:val="Strong"/>
          <w:rFonts w:asciiTheme="minorHAnsi" w:hAnsiTheme="minorHAnsi" w:cstheme="minorHAnsi"/>
          <w:i/>
          <w:iCs/>
          <w:color w:val="555555"/>
          <w:sz w:val="20"/>
          <w:szCs w:val="20"/>
        </w:rPr>
        <w:t>only available under the </w:t>
      </w:r>
      <w:hyperlink r:id="rId9" w:history="1">
        <w:r w:rsidRPr="008A157F">
          <w:rPr>
            <w:rStyle w:val="Hyperlink"/>
            <w:rFonts w:asciiTheme="minorHAnsi" w:hAnsiTheme="minorHAnsi" w:cstheme="minorHAnsi"/>
            <w:b/>
            <w:bCs/>
            <w:i/>
            <w:iCs/>
            <w:sz w:val="20"/>
            <w:szCs w:val="20"/>
          </w:rPr>
          <w:t>Server/CAL and Server/Device model</w:t>
        </w:r>
      </w:hyperlink>
      <w:r w:rsidRPr="008A157F">
        <w:rPr>
          <w:rFonts w:asciiTheme="minorHAnsi" w:hAnsiTheme="minorHAnsi" w:cstheme="minorHAnsi"/>
          <w:color w:val="555555"/>
          <w:sz w:val="20"/>
          <w:szCs w:val="20"/>
        </w:rPr>
        <w:t>. </w:t>
      </w:r>
      <w:hyperlink r:id="rId10" w:history="1">
        <w:r w:rsidRPr="008A157F">
          <w:rPr>
            <w:rStyle w:val="Hyperlink"/>
            <w:rFonts w:asciiTheme="minorHAnsi" w:hAnsiTheme="minorHAnsi" w:cstheme="minorHAnsi"/>
            <w:sz w:val="20"/>
            <w:szCs w:val="20"/>
          </w:rPr>
          <w:t>Core based licensing</w:t>
        </w:r>
      </w:hyperlink>
      <w:r w:rsidRPr="008A157F">
        <w:rPr>
          <w:rFonts w:asciiTheme="minorHAnsi" w:hAnsiTheme="minorHAnsi" w:cstheme="minorHAnsi"/>
          <w:color w:val="555555"/>
          <w:sz w:val="20"/>
          <w:szCs w:val="20"/>
        </w:rPr>
        <w:t> is not available for this edition of SQL Server. This version of SQL Server is there for End to End BI deployments, using SSIS (ETL), SSAS (CUBE) SSRS (Reporting) and a relational Database.</w:t>
      </w:r>
    </w:p>
    <w:p w14:paraId="5B52BE5C"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Note: SQL Server Analysis Services Tabular Edition is not available with this version. </w:t>
      </w:r>
    </w:p>
    <w:p w14:paraId="105DACC9"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This version is available through all channels except for Retail, i.e. Volume Licensing (Open, Select+ EA/EAS/SCE) or Third Party (ISVR &amp; SPLA).</w:t>
      </w:r>
    </w:p>
    <w:p w14:paraId="74BA5AEE"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Style w:val="Strong"/>
          <w:rFonts w:asciiTheme="minorHAnsi" w:hAnsiTheme="minorHAnsi" w:cstheme="minorHAnsi"/>
          <w:color w:val="555555"/>
          <w:sz w:val="20"/>
          <w:szCs w:val="20"/>
          <w:u w:val="single"/>
        </w:rPr>
        <w:t>SQL Server Developer Edition:</w:t>
      </w:r>
      <w:r w:rsidRPr="008A157F">
        <w:rPr>
          <w:rStyle w:val="Emphasis"/>
          <w:rFonts w:asciiTheme="minorHAnsi" w:hAnsiTheme="minorHAnsi" w:cstheme="minorHAnsi"/>
          <w:color w:val="555555"/>
          <w:sz w:val="20"/>
          <w:szCs w:val="20"/>
        </w:rPr>
        <w:t> </w:t>
      </w:r>
      <w:r w:rsidRPr="008A157F">
        <w:rPr>
          <w:rFonts w:asciiTheme="minorHAnsi" w:hAnsiTheme="minorHAnsi" w:cstheme="minorHAnsi"/>
          <w:color w:val="555555"/>
          <w:sz w:val="20"/>
          <w:szCs w:val="20"/>
        </w:rPr>
        <w:t>This edition of SQL Server is only available per Developer per Organisation. This can only be used in Development, User acceptance (UAT) and Testing purposes. You cannot use this license for production under any circumstances. It costs roughly 50$ per Developer.</w:t>
      </w:r>
    </w:p>
    <w:p w14:paraId="2C3F5A58"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MSDN subscription is a good alternative to this method of Licensing SQL Server during Dev &amp; Test phases.</w:t>
      </w:r>
    </w:p>
    <w:p w14:paraId="15799B71"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Developer Edition is only available in Retail and Volume Licensing (Open &amp; Select+)</w:t>
      </w:r>
    </w:p>
    <w:p w14:paraId="754CFDBD"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Style w:val="Strong"/>
          <w:rFonts w:asciiTheme="minorHAnsi" w:hAnsiTheme="minorHAnsi" w:cstheme="minorHAnsi"/>
          <w:color w:val="555555"/>
          <w:sz w:val="20"/>
          <w:szCs w:val="20"/>
          <w:u w:val="single"/>
        </w:rPr>
        <w:t>SQL Server Enterprise Edition</w:t>
      </w:r>
      <w:r w:rsidRPr="008A157F">
        <w:rPr>
          <w:rStyle w:val="Strong"/>
          <w:rFonts w:asciiTheme="minorHAnsi" w:hAnsiTheme="minorHAnsi" w:cstheme="minorHAnsi"/>
          <w:color w:val="555555"/>
          <w:sz w:val="20"/>
          <w:szCs w:val="20"/>
        </w:rPr>
        <w:t>: </w:t>
      </w:r>
      <w:r w:rsidRPr="008A157F">
        <w:rPr>
          <w:rFonts w:asciiTheme="minorHAnsi" w:hAnsiTheme="minorHAnsi" w:cstheme="minorHAnsi"/>
          <w:color w:val="555555"/>
          <w:sz w:val="20"/>
          <w:szCs w:val="20"/>
        </w:rPr>
        <w:t>This is the highest version of SQL Server, which contains all the features SQL Server has to offer. This includes BI features, Relational Database &amp; SharePoint 2010/2013 integration features.</w:t>
      </w:r>
    </w:p>
    <w:p w14:paraId="25AF24A3"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lastRenderedPageBreak/>
        <w:t>Only available in </w:t>
      </w:r>
      <w:hyperlink r:id="rId11" w:history="1">
        <w:r w:rsidRPr="008A157F">
          <w:rPr>
            <w:rStyle w:val="Hyperlink"/>
            <w:rFonts w:asciiTheme="minorHAnsi" w:hAnsiTheme="minorHAnsi" w:cstheme="minorHAnsi"/>
            <w:sz w:val="20"/>
            <w:szCs w:val="20"/>
          </w:rPr>
          <w:t>Core based Licensing</w:t>
        </w:r>
      </w:hyperlink>
      <w:r w:rsidRPr="008A157F">
        <w:rPr>
          <w:rFonts w:asciiTheme="minorHAnsi" w:hAnsiTheme="minorHAnsi" w:cstheme="minorHAnsi"/>
          <w:color w:val="555555"/>
          <w:sz w:val="20"/>
          <w:szCs w:val="20"/>
        </w:rPr>
        <w:t>. Like the BI edition, Enterprise Edition (EE) is available through all channels except for Retail, i.e. Volume Licensing (Open, Select+ EA/EAS/SCE) or Third Party (ISVR &amp; SPLA).</w:t>
      </w:r>
    </w:p>
    <w:p w14:paraId="4B1D471F"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Next, we will discuss how to better understand </w:t>
      </w:r>
      <w:hyperlink r:id="rId12" w:history="1">
        <w:r w:rsidRPr="008A157F">
          <w:rPr>
            <w:rStyle w:val="Hyperlink"/>
            <w:rFonts w:asciiTheme="minorHAnsi" w:hAnsiTheme="minorHAnsi" w:cstheme="minorHAnsi"/>
            <w:sz w:val="20"/>
            <w:szCs w:val="20"/>
          </w:rPr>
          <w:t>Core Based Licensing</w:t>
        </w:r>
      </w:hyperlink>
      <w:r w:rsidRPr="008A157F">
        <w:rPr>
          <w:rFonts w:asciiTheme="minorHAnsi" w:hAnsiTheme="minorHAnsi" w:cstheme="minorHAnsi"/>
          <w:color w:val="555555"/>
          <w:sz w:val="20"/>
          <w:szCs w:val="20"/>
        </w:rPr>
        <w:t> and other FAQ’s.</w:t>
      </w:r>
    </w:p>
    <w:p w14:paraId="1EEB8821" w14:textId="77777777" w:rsidR="008A157F" w:rsidRPr="008A157F" w:rsidRDefault="008A157F" w:rsidP="008A157F">
      <w:pPr>
        <w:pStyle w:val="Heading1"/>
        <w:shd w:val="clear" w:color="auto" w:fill="FFFFFF"/>
        <w:spacing w:before="0" w:beforeAutospacing="0" w:after="150" w:afterAutospacing="0"/>
        <w:jc w:val="center"/>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 xml:space="preserve">How To License SQL Server </w:t>
      </w:r>
      <w:proofErr w:type="gramStart"/>
      <w:r w:rsidRPr="008A157F">
        <w:rPr>
          <w:rFonts w:asciiTheme="minorHAnsi" w:hAnsiTheme="minorHAnsi" w:cstheme="minorHAnsi"/>
          <w:color w:val="000000"/>
          <w:spacing w:val="-10"/>
          <w:sz w:val="20"/>
          <w:szCs w:val="20"/>
        </w:rPr>
        <w:t>2014 :</w:t>
      </w:r>
      <w:proofErr w:type="gramEnd"/>
      <w:r w:rsidRPr="008A157F">
        <w:rPr>
          <w:rFonts w:asciiTheme="minorHAnsi" w:hAnsiTheme="minorHAnsi" w:cstheme="minorHAnsi"/>
          <w:color w:val="000000"/>
          <w:spacing w:val="-10"/>
          <w:sz w:val="20"/>
          <w:szCs w:val="20"/>
        </w:rPr>
        <w:t xml:space="preserve"> Core Licensing</w:t>
      </w:r>
    </w:p>
    <w:p w14:paraId="2CD5B8B4" w14:textId="745F9178" w:rsidR="008A157F" w:rsidRPr="008A157F" w:rsidRDefault="008A157F" w:rsidP="008A157F">
      <w:pPr>
        <w:rPr>
          <w:rFonts w:cstheme="minorHAnsi"/>
          <w:sz w:val="20"/>
          <w:szCs w:val="20"/>
        </w:rPr>
      </w:pPr>
      <w:hyperlink r:id="rId13" w:history="1">
        <w:r w:rsidRPr="008A157F">
          <w:rPr>
            <w:rStyle w:val="Hyperlink"/>
            <w:rFonts w:cstheme="minorHAnsi"/>
            <w:sz w:val="20"/>
            <w:szCs w:val="20"/>
          </w:rPr>
          <w:t>https://www.faceofit.com/sql-server-2014-core-licensing/</w:t>
        </w:r>
      </w:hyperlink>
    </w:p>
    <w:p w14:paraId="12F8F50D"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Microsoft </w:t>
      </w:r>
      <w:r w:rsidRPr="008A157F">
        <w:rPr>
          <w:rStyle w:val="Strong"/>
          <w:rFonts w:asciiTheme="minorHAnsi" w:hAnsiTheme="minorHAnsi" w:cstheme="minorHAnsi"/>
          <w:color w:val="555555"/>
          <w:sz w:val="20"/>
          <w:szCs w:val="20"/>
        </w:rPr>
        <w:t>SQL Server 2014 Core Licensing</w:t>
      </w:r>
      <w:r w:rsidRPr="008A157F">
        <w:rPr>
          <w:rFonts w:asciiTheme="minorHAnsi" w:hAnsiTheme="minorHAnsi" w:cstheme="minorHAnsi"/>
          <w:color w:val="555555"/>
          <w:sz w:val="20"/>
          <w:szCs w:val="20"/>
        </w:rPr>
        <w:t xml:space="preserve"> method is the one that majority of the Medium to Large Enterprises would go for. This is </w:t>
      </w:r>
      <w:proofErr w:type="gramStart"/>
      <w:r w:rsidRPr="008A157F">
        <w:rPr>
          <w:rFonts w:asciiTheme="minorHAnsi" w:hAnsiTheme="minorHAnsi" w:cstheme="minorHAnsi"/>
          <w:color w:val="555555"/>
          <w:sz w:val="20"/>
          <w:szCs w:val="20"/>
        </w:rPr>
        <w:t>because of the fact that</w:t>
      </w:r>
      <w:proofErr w:type="gramEnd"/>
      <w:r w:rsidRPr="008A157F">
        <w:rPr>
          <w:rFonts w:asciiTheme="minorHAnsi" w:hAnsiTheme="minorHAnsi" w:cstheme="minorHAnsi"/>
          <w:color w:val="555555"/>
          <w:sz w:val="20"/>
          <w:szCs w:val="20"/>
        </w:rPr>
        <w:t xml:space="preserve"> it gives you </w:t>
      </w:r>
      <w:r w:rsidRPr="008A157F">
        <w:rPr>
          <w:rStyle w:val="Strong"/>
          <w:rFonts w:asciiTheme="minorHAnsi" w:hAnsiTheme="minorHAnsi" w:cstheme="minorHAnsi"/>
          <w:i/>
          <w:iCs/>
          <w:color w:val="555555"/>
          <w:sz w:val="20"/>
          <w:szCs w:val="20"/>
        </w:rPr>
        <w:t>unlimited client connections</w:t>
      </w:r>
      <w:r w:rsidRPr="008A157F">
        <w:rPr>
          <w:rFonts w:asciiTheme="minorHAnsi" w:hAnsiTheme="minorHAnsi" w:cstheme="minorHAnsi"/>
          <w:color w:val="555555"/>
          <w:sz w:val="20"/>
          <w:szCs w:val="20"/>
        </w:rPr>
        <w:t>. There is also no need for clients to purchase additional Client licenses (CALS). However, </w:t>
      </w:r>
      <w:hyperlink r:id="rId14" w:history="1">
        <w:r w:rsidRPr="008A157F">
          <w:rPr>
            <w:rStyle w:val="Hyperlink"/>
            <w:rFonts w:asciiTheme="minorHAnsi" w:hAnsiTheme="minorHAnsi" w:cstheme="minorHAnsi"/>
            <w:sz w:val="20"/>
            <w:szCs w:val="20"/>
          </w:rPr>
          <w:t>as explained in my previous post</w:t>
        </w:r>
      </w:hyperlink>
      <w:r w:rsidRPr="008A157F">
        <w:rPr>
          <w:rFonts w:asciiTheme="minorHAnsi" w:hAnsiTheme="minorHAnsi" w:cstheme="minorHAnsi"/>
          <w:color w:val="555555"/>
          <w:sz w:val="20"/>
          <w:szCs w:val="20"/>
        </w:rPr>
        <w:t>, the Server CAL model of licensing is beneficial for smaller deployments with “Fixed” limited client connections. If you are new to SQL Server Licensing, </w:t>
      </w:r>
      <w:hyperlink r:id="rId15" w:history="1">
        <w:r w:rsidRPr="008A157F">
          <w:rPr>
            <w:rStyle w:val="Hyperlink"/>
            <w:rFonts w:asciiTheme="minorHAnsi" w:hAnsiTheme="minorHAnsi" w:cstheme="minorHAnsi"/>
            <w:b/>
            <w:bCs/>
            <w:sz w:val="20"/>
            <w:szCs w:val="20"/>
          </w:rPr>
          <w:t>please see this post first</w:t>
        </w:r>
      </w:hyperlink>
      <w:r w:rsidRPr="008A157F">
        <w:rPr>
          <w:rFonts w:asciiTheme="minorHAnsi" w:hAnsiTheme="minorHAnsi" w:cstheme="minorHAnsi"/>
          <w:color w:val="555555"/>
          <w:sz w:val="20"/>
          <w:szCs w:val="20"/>
        </w:rPr>
        <w:t>.</w:t>
      </w:r>
    </w:p>
    <w:p w14:paraId="73DD9E0E" w14:textId="77777777" w:rsidR="008A157F" w:rsidRPr="008A157F" w:rsidRDefault="008A157F" w:rsidP="008A157F">
      <w:pPr>
        <w:pStyle w:val="Heading2"/>
        <w:shd w:val="clear" w:color="auto" w:fill="FFFFFF"/>
        <w:spacing w:before="300" w:beforeAutospacing="0" w:after="150" w:afterAutospacing="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SQL Server 2014 Core Licensing</w:t>
      </w:r>
    </w:p>
    <w:p w14:paraId="180570FB" w14:textId="14C970E7"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20842D77" wp14:editId="65695407">
            <wp:extent cx="6696710" cy="2803525"/>
            <wp:effectExtent l="0" t="0" r="8890" b="0"/>
            <wp:docPr id="6" name="Picture 6" descr="Source: Microsoft Licensing Guide for SQ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urce: Microsoft Licensing Guide for SQL 20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710" cy="2803525"/>
                    </a:xfrm>
                    <a:prstGeom prst="rect">
                      <a:avLst/>
                    </a:prstGeom>
                    <a:noFill/>
                    <a:ln>
                      <a:noFill/>
                    </a:ln>
                  </pic:spPr>
                </pic:pic>
              </a:graphicData>
            </a:graphic>
          </wp:inline>
        </w:drawing>
      </w:r>
    </w:p>
    <w:p w14:paraId="23CC0442"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64CC1EDB"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Now, here is when things can get a bit more complex. Imagine the picture </w:t>
      </w:r>
      <w:proofErr w:type="gramStart"/>
      <w:r w:rsidRPr="008A157F">
        <w:rPr>
          <w:rFonts w:asciiTheme="minorHAnsi" w:hAnsiTheme="minorHAnsi" w:cstheme="minorHAnsi"/>
          <w:color w:val="555555"/>
          <w:sz w:val="20"/>
          <w:szCs w:val="20"/>
        </w:rPr>
        <w:t>above, and</w:t>
      </w:r>
      <w:proofErr w:type="gramEnd"/>
      <w:r w:rsidRPr="008A157F">
        <w:rPr>
          <w:rFonts w:asciiTheme="minorHAnsi" w:hAnsiTheme="minorHAnsi" w:cstheme="minorHAnsi"/>
          <w:color w:val="555555"/>
          <w:sz w:val="20"/>
          <w:szCs w:val="20"/>
        </w:rPr>
        <w:t xml:space="preserve"> understand the following terms which would be used to understand Core-Based licensing.</w:t>
      </w:r>
    </w:p>
    <w:p w14:paraId="05C8B152" w14:textId="77777777" w:rsidR="008A157F" w:rsidRPr="008A157F" w:rsidRDefault="008A157F" w:rsidP="008A157F">
      <w:pPr>
        <w:numPr>
          <w:ilvl w:val="0"/>
          <w:numId w:val="29"/>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Physical Server</w:t>
      </w:r>
      <w:r w:rsidRPr="008A157F">
        <w:rPr>
          <w:rFonts w:cstheme="minorHAnsi"/>
          <w:color w:val="555555"/>
          <w:sz w:val="20"/>
          <w:szCs w:val="20"/>
        </w:rPr>
        <w:t> – The Server (</w:t>
      </w:r>
      <w:hyperlink r:id="rId17" w:history="1">
        <w:r w:rsidRPr="008A157F">
          <w:rPr>
            <w:rStyle w:val="Hyperlink"/>
            <w:rFonts w:cstheme="minorHAnsi"/>
            <w:sz w:val="20"/>
            <w:szCs w:val="20"/>
          </w:rPr>
          <w:t>Which is not a Virtual Machine</w:t>
        </w:r>
      </w:hyperlink>
      <w:r w:rsidRPr="008A157F">
        <w:rPr>
          <w:rFonts w:cstheme="minorHAnsi"/>
          <w:color w:val="555555"/>
          <w:sz w:val="20"/>
          <w:szCs w:val="20"/>
        </w:rPr>
        <w:t>) on which you plan to install SQL Server 2014.</w:t>
      </w:r>
    </w:p>
    <w:p w14:paraId="7F4750A1" w14:textId="77777777" w:rsidR="008A157F" w:rsidRPr="008A157F" w:rsidRDefault="008A157F" w:rsidP="008A157F">
      <w:pPr>
        <w:numPr>
          <w:ilvl w:val="0"/>
          <w:numId w:val="29"/>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Physical Processor</w:t>
      </w:r>
      <w:r w:rsidRPr="008A157F">
        <w:rPr>
          <w:rFonts w:cstheme="minorHAnsi"/>
          <w:color w:val="555555"/>
          <w:sz w:val="20"/>
          <w:szCs w:val="20"/>
        </w:rPr>
        <w:t> – Please refer to the picture above. Physical processors typically come from Intel &amp; AMD. They look like this:</w:t>
      </w:r>
    </w:p>
    <w:p w14:paraId="6DED3961" w14:textId="0E4D3B54" w:rsidR="008A157F" w:rsidRPr="008A157F" w:rsidRDefault="008A157F" w:rsidP="008A157F">
      <w:pPr>
        <w:shd w:val="clear" w:color="auto" w:fill="FFFFFF"/>
        <w:spacing w:after="0"/>
        <w:rPr>
          <w:rFonts w:cstheme="minorHAnsi"/>
          <w:i/>
          <w:iCs/>
          <w:color w:val="000000"/>
          <w:sz w:val="20"/>
          <w:szCs w:val="20"/>
        </w:rPr>
      </w:pPr>
      <w:r w:rsidRPr="008A157F">
        <w:rPr>
          <w:rFonts w:cstheme="minorHAnsi"/>
          <w:i/>
          <w:iCs/>
          <w:noProof/>
          <w:color w:val="000000"/>
          <w:sz w:val="20"/>
          <w:szCs w:val="20"/>
        </w:rPr>
        <w:drawing>
          <wp:inline distT="0" distB="0" distL="0" distR="0" wp14:anchorId="09D0E887" wp14:editId="7D826442">
            <wp:extent cx="2941320" cy="2009775"/>
            <wp:effectExtent l="0" t="0" r="0" b="9525"/>
            <wp:docPr id="5" name="Picture 5" descr="source: AMD.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urce: AMD.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41320" cy="2009775"/>
                    </a:xfrm>
                    <a:prstGeom prst="rect">
                      <a:avLst/>
                    </a:prstGeom>
                    <a:noFill/>
                    <a:ln>
                      <a:noFill/>
                    </a:ln>
                  </pic:spPr>
                </pic:pic>
              </a:graphicData>
            </a:graphic>
          </wp:inline>
        </w:drawing>
      </w:r>
    </w:p>
    <w:p w14:paraId="40BF390C"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AMD.com</w:t>
      </w:r>
    </w:p>
    <w:p w14:paraId="02FC501D" w14:textId="77777777" w:rsidR="008A157F" w:rsidRPr="008A157F" w:rsidRDefault="008A157F" w:rsidP="008A157F">
      <w:pPr>
        <w:numPr>
          <w:ilvl w:val="0"/>
          <w:numId w:val="30"/>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Physical Core</w:t>
      </w:r>
      <w:r w:rsidRPr="008A157F">
        <w:rPr>
          <w:rFonts w:cstheme="minorHAnsi"/>
          <w:color w:val="555555"/>
          <w:sz w:val="20"/>
          <w:szCs w:val="20"/>
        </w:rPr>
        <w:t>: Processors can contain </w:t>
      </w:r>
      <w:r w:rsidRPr="008A157F">
        <w:rPr>
          <w:rStyle w:val="Strong"/>
          <w:rFonts w:cstheme="minorHAnsi"/>
          <w:color w:val="555555"/>
          <w:sz w:val="20"/>
          <w:szCs w:val="20"/>
        </w:rPr>
        <w:t>Dual</w:t>
      </w:r>
      <w:r w:rsidRPr="008A157F">
        <w:rPr>
          <w:rFonts w:cstheme="minorHAnsi"/>
          <w:color w:val="555555"/>
          <w:sz w:val="20"/>
          <w:szCs w:val="20"/>
        </w:rPr>
        <w:t>, </w:t>
      </w:r>
      <w:r w:rsidRPr="008A157F">
        <w:rPr>
          <w:rStyle w:val="Strong"/>
          <w:rFonts w:cstheme="minorHAnsi"/>
          <w:color w:val="555555"/>
          <w:sz w:val="20"/>
          <w:szCs w:val="20"/>
        </w:rPr>
        <w:t>Quad</w:t>
      </w:r>
      <w:r w:rsidRPr="008A157F">
        <w:rPr>
          <w:rFonts w:cstheme="minorHAnsi"/>
          <w:color w:val="555555"/>
          <w:sz w:val="20"/>
          <w:szCs w:val="20"/>
        </w:rPr>
        <w:t>, </w:t>
      </w:r>
      <w:r w:rsidRPr="008A157F">
        <w:rPr>
          <w:rStyle w:val="Strong"/>
          <w:rFonts w:cstheme="minorHAnsi"/>
          <w:color w:val="555555"/>
          <w:sz w:val="20"/>
          <w:szCs w:val="20"/>
        </w:rPr>
        <w:t>Hex</w:t>
      </w:r>
      <w:r w:rsidRPr="008A157F">
        <w:rPr>
          <w:rFonts w:cstheme="minorHAnsi"/>
          <w:color w:val="555555"/>
          <w:sz w:val="20"/>
          <w:szCs w:val="20"/>
        </w:rPr>
        <w:t>, </w:t>
      </w:r>
      <w:r w:rsidRPr="008A157F">
        <w:rPr>
          <w:rStyle w:val="Strong"/>
          <w:rFonts w:cstheme="minorHAnsi"/>
          <w:color w:val="555555"/>
          <w:sz w:val="20"/>
          <w:szCs w:val="20"/>
        </w:rPr>
        <w:t>Octa</w:t>
      </w:r>
      <w:r w:rsidRPr="008A157F">
        <w:rPr>
          <w:rFonts w:cstheme="minorHAnsi"/>
          <w:color w:val="555555"/>
          <w:sz w:val="20"/>
          <w:szCs w:val="20"/>
        </w:rPr>
        <w:t> or more cores in each processor. It depends on the processor model or vendor.</w:t>
      </w:r>
    </w:p>
    <w:p w14:paraId="249A1857" w14:textId="77777777" w:rsidR="008A157F" w:rsidRPr="008A157F" w:rsidRDefault="008A157F" w:rsidP="008A157F">
      <w:pPr>
        <w:numPr>
          <w:ilvl w:val="0"/>
          <w:numId w:val="30"/>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555555"/>
          <w:sz w:val="20"/>
          <w:szCs w:val="20"/>
        </w:rPr>
        <w:t>Hardware Threads</w:t>
      </w:r>
      <w:r w:rsidRPr="008A157F">
        <w:rPr>
          <w:rFonts w:cstheme="minorHAnsi"/>
          <w:color w:val="555555"/>
          <w:sz w:val="20"/>
          <w:szCs w:val="20"/>
        </w:rPr>
        <w:t xml:space="preserve">: Logical threads introduced first with Intel Hyper-Threading </w:t>
      </w:r>
      <w:proofErr w:type="gramStart"/>
      <w:r w:rsidRPr="008A157F">
        <w:rPr>
          <w:rFonts w:cstheme="minorHAnsi"/>
          <w:color w:val="555555"/>
          <w:sz w:val="20"/>
          <w:szCs w:val="20"/>
        </w:rPr>
        <w:t>Technology(</w:t>
      </w:r>
      <w:proofErr w:type="gramEnd"/>
      <w:r w:rsidRPr="008A157F">
        <w:rPr>
          <w:rFonts w:cstheme="minorHAnsi"/>
          <w:color w:val="555555"/>
          <w:sz w:val="20"/>
          <w:szCs w:val="20"/>
        </w:rPr>
        <w:t>HTT). AMD also sells Modules instead of Cores which adds a bit to the confusion.</w:t>
      </w:r>
    </w:p>
    <w:p w14:paraId="46A4971A"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lastRenderedPageBreak/>
        <w:t>You need to License all the physical cores of the Server. The exception here being </w:t>
      </w:r>
      <w:hyperlink r:id="rId19" w:history="1">
        <w:r w:rsidRPr="008A157F">
          <w:rPr>
            <w:rStyle w:val="Hyperlink"/>
            <w:rFonts w:asciiTheme="minorHAnsi" w:hAnsiTheme="minorHAnsi" w:cstheme="minorHAnsi"/>
            <w:sz w:val="20"/>
            <w:szCs w:val="20"/>
          </w:rPr>
          <w:t>Virtual Machines</w:t>
        </w:r>
      </w:hyperlink>
      <w:r w:rsidRPr="008A157F">
        <w:rPr>
          <w:rFonts w:asciiTheme="minorHAnsi" w:hAnsiTheme="minorHAnsi" w:cstheme="minorHAnsi"/>
          <w:color w:val="555555"/>
          <w:sz w:val="20"/>
          <w:szCs w:val="20"/>
        </w:rPr>
        <w:t>.</w:t>
      </w:r>
    </w:p>
    <w:p w14:paraId="33459497"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SQL Server 2008 R2 was the last release to come with “Per Socket Licensing”</w:t>
      </w:r>
    </w:p>
    <w:p w14:paraId="0F623E06"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Here is what the official documentation says:</w:t>
      </w:r>
    </w:p>
    <w:p w14:paraId="46F22580" w14:textId="04C72767"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2E7542A9" wp14:editId="46B0B972">
            <wp:extent cx="6696710" cy="1760855"/>
            <wp:effectExtent l="0" t="0" r="8890" b="0"/>
            <wp:docPr id="4" name="Picture 4" descr="Source: Microsoft Licensing Guide for SQ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urce: Microsoft Licensing Guide for SQL 20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710" cy="1760855"/>
                    </a:xfrm>
                    <a:prstGeom prst="rect">
                      <a:avLst/>
                    </a:prstGeom>
                    <a:noFill/>
                    <a:ln>
                      <a:noFill/>
                    </a:ln>
                  </pic:spPr>
                </pic:pic>
              </a:graphicData>
            </a:graphic>
          </wp:inline>
        </w:drawing>
      </w:r>
    </w:p>
    <w:p w14:paraId="5295779D"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4B1AB340"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Now, here are some of the points to remember:</w:t>
      </w:r>
    </w:p>
    <w:p w14:paraId="5A5B89B2" w14:textId="77777777" w:rsidR="008A157F" w:rsidRPr="008A157F" w:rsidRDefault="008A157F" w:rsidP="008A157F">
      <w:pPr>
        <w:numPr>
          <w:ilvl w:val="0"/>
          <w:numId w:val="31"/>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000000"/>
          <w:sz w:val="20"/>
          <w:szCs w:val="20"/>
        </w:rPr>
        <w:t>All physical cores on the server must be licensed (</w:t>
      </w:r>
      <w:hyperlink r:id="rId21" w:history="1">
        <w:r w:rsidRPr="008A157F">
          <w:rPr>
            <w:rStyle w:val="Hyperlink"/>
            <w:rFonts w:cstheme="minorHAnsi"/>
            <w:b/>
            <w:bCs/>
            <w:sz w:val="20"/>
            <w:szCs w:val="20"/>
          </w:rPr>
          <w:t>Exceptions being a Virtual Machine</w:t>
        </w:r>
      </w:hyperlink>
      <w:r w:rsidRPr="008A157F">
        <w:rPr>
          <w:rStyle w:val="Strong"/>
          <w:rFonts w:cstheme="minorHAnsi"/>
          <w:color w:val="000000"/>
          <w:sz w:val="20"/>
          <w:szCs w:val="20"/>
        </w:rPr>
        <w:t>)</w:t>
      </w:r>
    </w:p>
    <w:p w14:paraId="04BE5DA4" w14:textId="77777777" w:rsidR="008A157F" w:rsidRPr="008A157F" w:rsidRDefault="008A157F" w:rsidP="008A157F">
      <w:pPr>
        <w:numPr>
          <w:ilvl w:val="0"/>
          <w:numId w:val="31"/>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000000"/>
          <w:sz w:val="20"/>
          <w:szCs w:val="20"/>
        </w:rPr>
        <w:t>You need to buy a minimum number of licenses for each physical processor on the server, which is 4 cores.</w:t>
      </w:r>
    </w:p>
    <w:p w14:paraId="161B063E" w14:textId="77777777" w:rsidR="008A157F" w:rsidRPr="008A157F" w:rsidRDefault="008A157F" w:rsidP="008A157F">
      <w:pPr>
        <w:numPr>
          <w:ilvl w:val="0"/>
          <w:numId w:val="31"/>
        </w:numPr>
        <w:shd w:val="clear" w:color="auto" w:fill="FFFFFF"/>
        <w:spacing w:before="100" w:beforeAutospacing="1" w:after="100" w:afterAutospacing="1" w:line="240" w:lineRule="auto"/>
        <w:rPr>
          <w:rFonts w:cstheme="minorHAnsi"/>
          <w:color w:val="555555"/>
          <w:sz w:val="20"/>
          <w:szCs w:val="20"/>
        </w:rPr>
      </w:pPr>
      <w:r w:rsidRPr="008A157F">
        <w:rPr>
          <w:rStyle w:val="Strong"/>
          <w:rFonts w:cstheme="minorHAnsi"/>
          <w:color w:val="000000"/>
          <w:sz w:val="20"/>
          <w:szCs w:val="20"/>
        </w:rPr>
        <w:t>Core Licenses are sold in an even number of packs, i.e. 2 pack, 4 pack, 6 packs etc.</w:t>
      </w:r>
    </w:p>
    <w:p w14:paraId="25CB2BB4" w14:textId="4AA6D60E" w:rsidR="008A157F" w:rsidRPr="008A157F" w:rsidRDefault="008A157F" w:rsidP="008A157F">
      <w:pPr>
        <w:shd w:val="clear" w:color="auto" w:fill="FFFFFF"/>
        <w:spacing w:after="0"/>
        <w:rPr>
          <w:rFonts w:cstheme="minorHAnsi"/>
          <w:i/>
          <w:iCs/>
          <w:color w:val="000000"/>
          <w:sz w:val="20"/>
          <w:szCs w:val="20"/>
        </w:rPr>
      </w:pPr>
      <w:r w:rsidRPr="008A157F">
        <w:rPr>
          <w:rFonts w:cstheme="minorHAnsi"/>
          <w:i/>
          <w:iCs/>
          <w:noProof/>
          <w:color w:val="000000"/>
          <w:sz w:val="20"/>
          <w:szCs w:val="20"/>
        </w:rPr>
        <w:drawing>
          <wp:inline distT="0" distB="0" distL="0" distR="0" wp14:anchorId="638B0909" wp14:editId="4A4816FD">
            <wp:extent cx="6696710" cy="1984375"/>
            <wp:effectExtent l="0" t="0" r="8890" b="0"/>
            <wp:docPr id="3" name="Picture 3" descr="Source: Microsoft Licensing Guide for SQ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urce: Microsoft Licensing Guide for SQL 20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96710" cy="1984375"/>
                    </a:xfrm>
                    <a:prstGeom prst="rect">
                      <a:avLst/>
                    </a:prstGeom>
                    <a:noFill/>
                    <a:ln>
                      <a:noFill/>
                    </a:ln>
                  </pic:spPr>
                </pic:pic>
              </a:graphicData>
            </a:graphic>
          </wp:inline>
        </w:drawing>
      </w:r>
    </w:p>
    <w:p w14:paraId="7E584E30"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1CBC7150"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To understand and calculate the Core factor, refer to the following table:</w:t>
      </w:r>
    </w:p>
    <w:p w14:paraId="0453D6DE" w14:textId="6EA3C38A"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67E68E96" wp14:editId="470A3BC5">
            <wp:extent cx="6696710" cy="1804035"/>
            <wp:effectExtent l="0" t="0" r="8890" b="5715"/>
            <wp:docPr id="2" name="Picture 2" descr="Source: Microsoft Licensing Guide for SQL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urce: Microsoft Licensing Guide for SQL 20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96710" cy="1804035"/>
                    </a:xfrm>
                    <a:prstGeom prst="rect">
                      <a:avLst/>
                    </a:prstGeom>
                    <a:noFill/>
                    <a:ln>
                      <a:noFill/>
                    </a:ln>
                  </pic:spPr>
                </pic:pic>
              </a:graphicData>
            </a:graphic>
          </wp:inline>
        </w:drawing>
      </w:r>
    </w:p>
    <w:p w14:paraId="1F66BD18"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43710F45" w14:textId="77777777" w:rsidR="008A157F" w:rsidRPr="00EA1A5F" w:rsidRDefault="008A157F" w:rsidP="008A157F">
      <w:pPr>
        <w:pStyle w:val="Heading3"/>
        <w:shd w:val="clear" w:color="auto" w:fill="FFFFFF"/>
        <w:spacing w:before="300" w:after="120"/>
        <w:rPr>
          <w:rFonts w:asciiTheme="minorHAnsi" w:hAnsiTheme="minorHAnsi" w:cstheme="minorHAnsi"/>
          <w:b/>
          <w:bCs/>
          <w:color w:val="000000"/>
          <w:spacing w:val="-10"/>
          <w:sz w:val="20"/>
          <w:szCs w:val="20"/>
        </w:rPr>
      </w:pPr>
      <w:r w:rsidRPr="00EA1A5F">
        <w:rPr>
          <w:rFonts w:asciiTheme="minorHAnsi" w:hAnsiTheme="minorHAnsi" w:cstheme="minorHAnsi"/>
          <w:b/>
          <w:bCs/>
          <w:color w:val="000000"/>
          <w:spacing w:val="-10"/>
          <w:sz w:val="20"/>
          <w:szCs w:val="20"/>
          <w:highlight w:val="yellow"/>
        </w:rPr>
        <w:t>Core-Based Licensing Considerations:</w:t>
      </w:r>
    </w:p>
    <w:p w14:paraId="6363A3D4" w14:textId="77777777" w:rsidR="008A157F" w:rsidRPr="008A157F" w:rsidRDefault="008A157F" w:rsidP="008A157F">
      <w:pPr>
        <w:numPr>
          <w:ilvl w:val="0"/>
          <w:numId w:val="32"/>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If you are buying </w:t>
      </w:r>
      <w:r w:rsidRPr="008A157F">
        <w:rPr>
          <w:rStyle w:val="Strong"/>
          <w:rFonts w:cstheme="minorHAnsi"/>
          <w:color w:val="555555"/>
          <w:sz w:val="20"/>
          <w:szCs w:val="20"/>
        </w:rPr>
        <w:t>SQL Server Enterprise Edition</w:t>
      </w:r>
      <w:r w:rsidRPr="008A157F">
        <w:rPr>
          <w:rFonts w:cstheme="minorHAnsi"/>
          <w:color w:val="555555"/>
          <w:sz w:val="20"/>
          <w:szCs w:val="20"/>
        </w:rPr>
        <w:t>.</w:t>
      </w:r>
    </w:p>
    <w:p w14:paraId="0090ED16" w14:textId="77777777" w:rsidR="008A157F" w:rsidRPr="008A157F" w:rsidRDefault="008A157F" w:rsidP="008A157F">
      <w:pPr>
        <w:numPr>
          <w:ilvl w:val="0"/>
          <w:numId w:val="32"/>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When a Web-facing App is connecting to your SQL Server, the </w:t>
      </w:r>
      <w:r w:rsidRPr="008A157F">
        <w:rPr>
          <w:rStyle w:val="Strong"/>
          <w:rFonts w:cstheme="minorHAnsi"/>
          <w:color w:val="555555"/>
          <w:sz w:val="20"/>
          <w:szCs w:val="20"/>
        </w:rPr>
        <w:t>only option</w:t>
      </w:r>
      <w:r w:rsidRPr="008A157F">
        <w:rPr>
          <w:rFonts w:cstheme="minorHAnsi"/>
          <w:color w:val="555555"/>
          <w:sz w:val="20"/>
          <w:szCs w:val="20"/>
        </w:rPr>
        <w:t> is to go for SQL Server Core-Based Licensing. This is because you will never be able to calculate the exact number of client connections which is connecting directly or indirectly to your SQL Server.</w:t>
      </w:r>
    </w:p>
    <w:p w14:paraId="52E41C23" w14:textId="77777777" w:rsidR="008A157F" w:rsidRPr="008A157F" w:rsidRDefault="008A157F" w:rsidP="008A157F">
      <w:pPr>
        <w:numPr>
          <w:ilvl w:val="0"/>
          <w:numId w:val="32"/>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lastRenderedPageBreak/>
        <w:t>When you have a large number of direct and/or indirect users/devices, Core based licensing is cheaper than </w:t>
      </w:r>
      <w:hyperlink r:id="rId24" w:history="1">
        <w:r w:rsidRPr="008A157F">
          <w:rPr>
            <w:rStyle w:val="Hyperlink"/>
            <w:rFonts w:cstheme="minorHAnsi"/>
            <w:sz w:val="20"/>
            <w:szCs w:val="20"/>
          </w:rPr>
          <w:t>User/Device CAL based licensing</w:t>
        </w:r>
      </w:hyperlink>
      <w:r w:rsidRPr="008A157F">
        <w:rPr>
          <w:rFonts w:cstheme="minorHAnsi"/>
          <w:color w:val="555555"/>
          <w:sz w:val="20"/>
          <w:szCs w:val="20"/>
        </w:rPr>
        <w:t>.</w:t>
      </w:r>
    </w:p>
    <w:p w14:paraId="14185EEF"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Note: If you are using Intel based processors with hyper-threading technology enabled, it does not affect the number of core licenses required when running SQL Server software in a physical environment.</w:t>
      </w:r>
    </w:p>
    <w:p w14:paraId="05FEAB34"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In my next Article, I will discuss Licensing SQL Server in a </w:t>
      </w:r>
      <w:hyperlink r:id="rId25" w:history="1">
        <w:r w:rsidRPr="008A157F">
          <w:rPr>
            <w:rStyle w:val="Hyperlink"/>
            <w:rFonts w:asciiTheme="minorHAnsi" w:hAnsiTheme="minorHAnsi" w:cstheme="minorHAnsi"/>
            <w:sz w:val="20"/>
            <w:szCs w:val="20"/>
          </w:rPr>
          <w:t>Virtual Environment</w:t>
        </w:r>
      </w:hyperlink>
      <w:r w:rsidRPr="008A157F">
        <w:rPr>
          <w:rFonts w:asciiTheme="minorHAnsi" w:hAnsiTheme="minorHAnsi" w:cstheme="minorHAnsi"/>
          <w:color w:val="555555"/>
          <w:sz w:val="20"/>
          <w:szCs w:val="20"/>
        </w:rPr>
        <w:t>.</w:t>
      </w:r>
    </w:p>
    <w:p w14:paraId="15FA9C18"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If you have suggestions or questions, please drop us a comment below in the comment section.</w:t>
      </w:r>
    </w:p>
    <w:p w14:paraId="4A431305" w14:textId="6635C217" w:rsidR="008A157F" w:rsidRDefault="008A157F" w:rsidP="008A157F">
      <w:pPr>
        <w:shd w:val="clear" w:color="auto" w:fill="FFFFFF"/>
        <w:rPr>
          <w:rFonts w:cstheme="minorHAnsi"/>
          <w:color w:val="555555"/>
          <w:sz w:val="20"/>
          <w:szCs w:val="20"/>
        </w:rPr>
      </w:pPr>
      <w:r w:rsidRPr="008A157F">
        <w:rPr>
          <w:rFonts w:cstheme="minorHAnsi"/>
          <w:color w:val="555555"/>
          <w:sz w:val="20"/>
          <w:szCs w:val="20"/>
        </w:rPr>
        <w:t xml:space="preserve">Affiliate Disclosure: Faceofit.com is a participant in the Amazon Services LLC Associates Program. As an Amazon </w:t>
      </w:r>
      <w:proofErr w:type="gramStart"/>
      <w:r w:rsidRPr="008A157F">
        <w:rPr>
          <w:rFonts w:cstheme="minorHAnsi"/>
          <w:color w:val="555555"/>
          <w:sz w:val="20"/>
          <w:szCs w:val="20"/>
        </w:rPr>
        <w:t>Associate</w:t>
      </w:r>
      <w:proofErr w:type="gramEnd"/>
      <w:r w:rsidRPr="008A157F">
        <w:rPr>
          <w:rFonts w:cstheme="minorHAnsi"/>
          <w:color w:val="555555"/>
          <w:sz w:val="20"/>
          <w:szCs w:val="20"/>
        </w:rPr>
        <w:t xml:space="preserve"> we earn from qualifying purchases.</w:t>
      </w:r>
    </w:p>
    <w:p w14:paraId="3763D4A8" w14:textId="0BE204E1" w:rsidR="00EA1A5F" w:rsidRDefault="00EA1A5F" w:rsidP="008A157F">
      <w:pPr>
        <w:shd w:val="clear" w:color="auto" w:fill="FFFFFF"/>
        <w:rPr>
          <w:rFonts w:cstheme="minorHAnsi"/>
          <w:color w:val="555555"/>
          <w:sz w:val="20"/>
          <w:szCs w:val="20"/>
        </w:rPr>
      </w:pPr>
    </w:p>
    <w:p w14:paraId="78E1E907" w14:textId="0DB5A1B7" w:rsidR="00EA1A5F" w:rsidRDefault="00EA1A5F" w:rsidP="008A157F">
      <w:pPr>
        <w:shd w:val="clear" w:color="auto" w:fill="FFFFFF"/>
        <w:rPr>
          <w:rFonts w:cstheme="minorHAnsi"/>
          <w:color w:val="555555"/>
          <w:sz w:val="20"/>
          <w:szCs w:val="20"/>
        </w:rPr>
      </w:pPr>
    </w:p>
    <w:p w14:paraId="0C0999D0" w14:textId="675E7A1B" w:rsidR="00EA1A5F" w:rsidRDefault="00EA1A5F" w:rsidP="008A157F">
      <w:pPr>
        <w:shd w:val="clear" w:color="auto" w:fill="FFFFFF"/>
        <w:rPr>
          <w:rFonts w:cstheme="minorHAnsi"/>
          <w:color w:val="555555"/>
          <w:sz w:val="20"/>
          <w:szCs w:val="20"/>
        </w:rPr>
      </w:pPr>
    </w:p>
    <w:p w14:paraId="2E7F4AD5" w14:textId="64668BDE" w:rsidR="00EA1A5F" w:rsidRDefault="00EA1A5F" w:rsidP="008A157F">
      <w:pPr>
        <w:shd w:val="clear" w:color="auto" w:fill="FFFFFF"/>
        <w:rPr>
          <w:rFonts w:cstheme="minorHAnsi"/>
          <w:color w:val="555555"/>
          <w:sz w:val="20"/>
          <w:szCs w:val="20"/>
        </w:rPr>
      </w:pPr>
    </w:p>
    <w:p w14:paraId="4D10B038" w14:textId="144535C1" w:rsidR="00EA1A5F" w:rsidRDefault="00EA1A5F" w:rsidP="008A157F">
      <w:pPr>
        <w:shd w:val="clear" w:color="auto" w:fill="FFFFFF"/>
        <w:rPr>
          <w:rFonts w:cstheme="minorHAnsi"/>
          <w:color w:val="555555"/>
          <w:sz w:val="20"/>
          <w:szCs w:val="20"/>
        </w:rPr>
      </w:pPr>
    </w:p>
    <w:p w14:paraId="3E2BE5AF" w14:textId="351749BC" w:rsidR="00EA1A5F" w:rsidRDefault="00EA1A5F" w:rsidP="008A157F">
      <w:pPr>
        <w:shd w:val="clear" w:color="auto" w:fill="FFFFFF"/>
        <w:rPr>
          <w:rFonts w:cstheme="minorHAnsi"/>
          <w:color w:val="555555"/>
          <w:sz w:val="20"/>
          <w:szCs w:val="20"/>
        </w:rPr>
      </w:pPr>
    </w:p>
    <w:p w14:paraId="59747EFF" w14:textId="6538E456" w:rsidR="00EA1A5F" w:rsidRDefault="00EA1A5F" w:rsidP="008A157F">
      <w:pPr>
        <w:shd w:val="clear" w:color="auto" w:fill="FFFFFF"/>
        <w:rPr>
          <w:rFonts w:cstheme="minorHAnsi"/>
          <w:color w:val="555555"/>
          <w:sz w:val="20"/>
          <w:szCs w:val="20"/>
        </w:rPr>
      </w:pPr>
    </w:p>
    <w:p w14:paraId="529CA011" w14:textId="5DB58A6F" w:rsidR="00EA1A5F" w:rsidRDefault="00EA1A5F" w:rsidP="008A157F">
      <w:pPr>
        <w:shd w:val="clear" w:color="auto" w:fill="FFFFFF"/>
        <w:rPr>
          <w:rFonts w:cstheme="minorHAnsi"/>
          <w:color w:val="555555"/>
          <w:sz w:val="20"/>
          <w:szCs w:val="20"/>
        </w:rPr>
      </w:pPr>
    </w:p>
    <w:p w14:paraId="188CB17F" w14:textId="68822190" w:rsidR="00EA1A5F" w:rsidRDefault="00EA1A5F" w:rsidP="008A157F">
      <w:pPr>
        <w:shd w:val="clear" w:color="auto" w:fill="FFFFFF"/>
        <w:rPr>
          <w:rFonts w:cstheme="minorHAnsi"/>
          <w:color w:val="555555"/>
          <w:sz w:val="20"/>
          <w:szCs w:val="20"/>
        </w:rPr>
      </w:pPr>
    </w:p>
    <w:p w14:paraId="634E75A4" w14:textId="5403F6BC" w:rsidR="00EA1A5F" w:rsidRDefault="00EA1A5F" w:rsidP="008A157F">
      <w:pPr>
        <w:shd w:val="clear" w:color="auto" w:fill="FFFFFF"/>
        <w:rPr>
          <w:rFonts w:cstheme="minorHAnsi"/>
          <w:color w:val="555555"/>
          <w:sz w:val="20"/>
          <w:szCs w:val="20"/>
        </w:rPr>
      </w:pPr>
    </w:p>
    <w:p w14:paraId="371D6230" w14:textId="7D4CA7BF" w:rsidR="00EA1A5F" w:rsidRDefault="00EA1A5F" w:rsidP="008A157F">
      <w:pPr>
        <w:shd w:val="clear" w:color="auto" w:fill="FFFFFF"/>
        <w:rPr>
          <w:rFonts w:cstheme="minorHAnsi"/>
          <w:color w:val="555555"/>
          <w:sz w:val="20"/>
          <w:szCs w:val="20"/>
        </w:rPr>
      </w:pPr>
    </w:p>
    <w:p w14:paraId="00CC4234" w14:textId="37146316" w:rsidR="00EA1A5F" w:rsidRDefault="00EA1A5F" w:rsidP="008A157F">
      <w:pPr>
        <w:shd w:val="clear" w:color="auto" w:fill="FFFFFF"/>
        <w:rPr>
          <w:rFonts w:cstheme="minorHAnsi"/>
          <w:color w:val="555555"/>
          <w:sz w:val="20"/>
          <w:szCs w:val="20"/>
        </w:rPr>
      </w:pPr>
    </w:p>
    <w:p w14:paraId="242A248D" w14:textId="7FC90731" w:rsidR="00EA1A5F" w:rsidRDefault="00EA1A5F" w:rsidP="008A157F">
      <w:pPr>
        <w:shd w:val="clear" w:color="auto" w:fill="FFFFFF"/>
        <w:rPr>
          <w:rFonts w:cstheme="minorHAnsi"/>
          <w:color w:val="555555"/>
          <w:sz w:val="20"/>
          <w:szCs w:val="20"/>
        </w:rPr>
      </w:pPr>
    </w:p>
    <w:p w14:paraId="5E25D810" w14:textId="6CDEC1FD" w:rsidR="00EA1A5F" w:rsidRDefault="00EA1A5F" w:rsidP="008A157F">
      <w:pPr>
        <w:shd w:val="clear" w:color="auto" w:fill="FFFFFF"/>
        <w:rPr>
          <w:rFonts w:cstheme="minorHAnsi"/>
          <w:color w:val="555555"/>
          <w:sz w:val="20"/>
          <w:szCs w:val="20"/>
        </w:rPr>
      </w:pPr>
    </w:p>
    <w:p w14:paraId="38C5017E" w14:textId="78D71EE7" w:rsidR="00EA1A5F" w:rsidRDefault="00EA1A5F" w:rsidP="008A157F">
      <w:pPr>
        <w:shd w:val="clear" w:color="auto" w:fill="FFFFFF"/>
        <w:rPr>
          <w:rFonts w:cstheme="minorHAnsi"/>
          <w:color w:val="555555"/>
          <w:sz w:val="20"/>
          <w:szCs w:val="20"/>
        </w:rPr>
      </w:pPr>
    </w:p>
    <w:p w14:paraId="6FC985D7" w14:textId="2120881C" w:rsidR="00EA1A5F" w:rsidRDefault="00EA1A5F" w:rsidP="008A157F">
      <w:pPr>
        <w:shd w:val="clear" w:color="auto" w:fill="FFFFFF"/>
        <w:rPr>
          <w:rFonts w:cstheme="minorHAnsi"/>
          <w:color w:val="555555"/>
          <w:sz w:val="20"/>
          <w:szCs w:val="20"/>
        </w:rPr>
      </w:pPr>
    </w:p>
    <w:p w14:paraId="78126F83" w14:textId="764CF085" w:rsidR="00EA1A5F" w:rsidRDefault="00EA1A5F" w:rsidP="008A157F">
      <w:pPr>
        <w:shd w:val="clear" w:color="auto" w:fill="FFFFFF"/>
        <w:rPr>
          <w:rFonts w:cstheme="minorHAnsi"/>
          <w:color w:val="555555"/>
          <w:sz w:val="20"/>
          <w:szCs w:val="20"/>
        </w:rPr>
      </w:pPr>
    </w:p>
    <w:p w14:paraId="00B408F2" w14:textId="15C7CB50" w:rsidR="00EA1A5F" w:rsidRDefault="00EA1A5F" w:rsidP="008A157F">
      <w:pPr>
        <w:shd w:val="clear" w:color="auto" w:fill="FFFFFF"/>
        <w:rPr>
          <w:rFonts w:cstheme="minorHAnsi"/>
          <w:color w:val="555555"/>
          <w:sz w:val="20"/>
          <w:szCs w:val="20"/>
        </w:rPr>
      </w:pPr>
    </w:p>
    <w:p w14:paraId="2CCF73A9" w14:textId="2D94F732" w:rsidR="00EA1A5F" w:rsidRDefault="00EA1A5F" w:rsidP="008A157F">
      <w:pPr>
        <w:shd w:val="clear" w:color="auto" w:fill="FFFFFF"/>
        <w:rPr>
          <w:rFonts w:cstheme="minorHAnsi"/>
          <w:color w:val="555555"/>
          <w:sz w:val="20"/>
          <w:szCs w:val="20"/>
        </w:rPr>
      </w:pPr>
    </w:p>
    <w:p w14:paraId="46DBFE5C" w14:textId="00B9F2AB" w:rsidR="00EA1A5F" w:rsidRDefault="00EA1A5F" w:rsidP="008A157F">
      <w:pPr>
        <w:shd w:val="clear" w:color="auto" w:fill="FFFFFF"/>
        <w:rPr>
          <w:rFonts w:cstheme="minorHAnsi"/>
          <w:color w:val="555555"/>
          <w:sz w:val="20"/>
          <w:szCs w:val="20"/>
        </w:rPr>
      </w:pPr>
    </w:p>
    <w:p w14:paraId="789F40D1" w14:textId="108682B2" w:rsidR="00EA1A5F" w:rsidRDefault="00EA1A5F" w:rsidP="008A157F">
      <w:pPr>
        <w:shd w:val="clear" w:color="auto" w:fill="FFFFFF"/>
        <w:rPr>
          <w:rFonts w:cstheme="minorHAnsi"/>
          <w:color w:val="555555"/>
          <w:sz w:val="20"/>
          <w:szCs w:val="20"/>
        </w:rPr>
      </w:pPr>
    </w:p>
    <w:p w14:paraId="1350B3EB" w14:textId="1A12FC44" w:rsidR="00EA1A5F" w:rsidRDefault="00EA1A5F" w:rsidP="008A157F">
      <w:pPr>
        <w:shd w:val="clear" w:color="auto" w:fill="FFFFFF"/>
        <w:rPr>
          <w:rFonts w:cstheme="minorHAnsi"/>
          <w:color w:val="555555"/>
          <w:sz w:val="20"/>
          <w:szCs w:val="20"/>
        </w:rPr>
      </w:pPr>
    </w:p>
    <w:p w14:paraId="65647187" w14:textId="5964240E" w:rsidR="00EA1A5F" w:rsidRDefault="00EA1A5F" w:rsidP="008A157F">
      <w:pPr>
        <w:shd w:val="clear" w:color="auto" w:fill="FFFFFF"/>
        <w:rPr>
          <w:rFonts w:cstheme="minorHAnsi"/>
          <w:color w:val="555555"/>
          <w:sz w:val="20"/>
          <w:szCs w:val="20"/>
        </w:rPr>
      </w:pPr>
    </w:p>
    <w:p w14:paraId="71C80905" w14:textId="220F0027" w:rsidR="00EA1A5F" w:rsidRDefault="00EA1A5F" w:rsidP="008A157F">
      <w:pPr>
        <w:shd w:val="clear" w:color="auto" w:fill="FFFFFF"/>
        <w:rPr>
          <w:rFonts w:cstheme="minorHAnsi"/>
          <w:color w:val="555555"/>
          <w:sz w:val="20"/>
          <w:szCs w:val="20"/>
        </w:rPr>
      </w:pPr>
    </w:p>
    <w:p w14:paraId="34858B0C" w14:textId="02340BA7" w:rsidR="00EA1A5F" w:rsidRDefault="00EA1A5F" w:rsidP="008A157F">
      <w:pPr>
        <w:shd w:val="clear" w:color="auto" w:fill="FFFFFF"/>
        <w:rPr>
          <w:rFonts w:cstheme="minorHAnsi"/>
          <w:color w:val="555555"/>
          <w:sz w:val="20"/>
          <w:szCs w:val="20"/>
        </w:rPr>
      </w:pPr>
    </w:p>
    <w:p w14:paraId="21AFB34D" w14:textId="6C7E5C33" w:rsidR="00EA1A5F" w:rsidRDefault="00EA1A5F" w:rsidP="008A157F">
      <w:pPr>
        <w:shd w:val="clear" w:color="auto" w:fill="FFFFFF"/>
        <w:rPr>
          <w:rFonts w:cstheme="minorHAnsi"/>
          <w:color w:val="555555"/>
          <w:sz w:val="20"/>
          <w:szCs w:val="20"/>
        </w:rPr>
      </w:pPr>
    </w:p>
    <w:p w14:paraId="46A40F75" w14:textId="1EF1C9F5" w:rsidR="00EA1A5F" w:rsidRDefault="00EA1A5F" w:rsidP="008A157F">
      <w:pPr>
        <w:shd w:val="clear" w:color="auto" w:fill="FFFFFF"/>
        <w:rPr>
          <w:rFonts w:cstheme="minorHAnsi"/>
          <w:color w:val="555555"/>
          <w:sz w:val="20"/>
          <w:szCs w:val="20"/>
        </w:rPr>
      </w:pPr>
    </w:p>
    <w:p w14:paraId="3CDD764C" w14:textId="17102797" w:rsidR="00EA1A5F" w:rsidRDefault="00EA1A5F" w:rsidP="008A157F">
      <w:pPr>
        <w:shd w:val="clear" w:color="auto" w:fill="FFFFFF"/>
        <w:rPr>
          <w:rFonts w:cstheme="minorHAnsi"/>
          <w:color w:val="555555"/>
          <w:sz w:val="20"/>
          <w:szCs w:val="20"/>
        </w:rPr>
      </w:pPr>
    </w:p>
    <w:p w14:paraId="61CB877F" w14:textId="77777777" w:rsidR="00EA1A5F" w:rsidRPr="008A157F" w:rsidRDefault="00EA1A5F" w:rsidP="008A157F">
      <w:pPr>
        <w:shd w:val="clear" w:color="auto" w:fill="FFFFFF"/>
        <w:rPr>
          <w:rFonts w:cstheme="minorHAnsi"/>
          <w:color w:val="555555"/>
          <w:sz w:val="20"/>
          <w:szCs w:val="20"/>
        </w:rPr>
      </w:pPr>
    </w:p>
    <w:p w14:paraId="115CA547" w14:textId="0EFD1806" w:rsidR="008A157F" w:rsidRPr="008A157F" w:rsidRDefault="008A157F" w:rsidP="008A157F">
      <w:pPr>
        <w:rPr>
          <w:rFonts w:cstheme="minorHAnsi"/>
          <w:sz w:val="20"/>
          <w:szCs w:val="20"/>
          <w:highlight w:val="yellow"/>
        </w:rPr>
      </w:pPr>
    </w:p>
    <w:p w14:paraId="1AB614E0" w14:textId="77777777" w:rsidR="008A157F" w:rsidRPr="00EA1A5F" w:rsidRDefault="008A157F" w:rsidP="008A157F">
      <w:pPr>
        <w:pStyle w:val="Heading1"/>
        <w:shd w:val="clear" w:color="auto" w:fill="FFFFFF"/>
        <w:spacing w:before="0" w:beforeAutospacing="0" w:after="150" w:afterAutospacing="0"/>
        <w:jc w:val="center"/>
        <w:rPr>
          <w:rFonts w:asciiTheme="minorHAnsi" w:hAnsiTheme="minorHAnsi" w:cstheme="minorHAnsi"/>
          <w:color w:val="000000"/>
          <w:spacing w:val="-10"/>
          <w:sz w:val="28"/>
          <w:szCs w:val="28"/>
        </w:rPr>
      </w:pPr>
      <w:r w:rsidRPr="00EA1A5F">
        <w:rPr>
          <w:rFonts w:asciiTheme="minorHAnsi" w:hAnsiTheme="minorHAnsi" w:cstheme="minorHAnsi"/>
          <w:color w:val="000000"/>
          <w:spacing w:val="-10"/>
          <w:sz w:val="28"/>
          <w:szCs w:val="28"/>
          <w:highlight w:val="yellow"/>
        </w:rPr>
        <w:lastRenderedPageBreak/>
        <w:t>SQL Server 2014 Licensing: Server &amp; CAL Licensing</w:t>
      </w:r>
    </w:p>
    <w:p w14:paraId="1E8F6A4F" w14:textId="2D8B9A8A" w:rsidR="008A157F" w:rsidRPr="008A157F" w:rsidRDefault="008A157F" w:rsidP="008A157F">
      <w:pPr>
        <w:rPr>
          <w:rFonts w:cstheme="minorHAnsi"/>
          <w:sz w:val="20"/>
          <w:szCs w:val="20"/>
        </w:rPr>
      </w:pPr>
      <w:hyperlink r:id="rId26" w:history="1">
        <w:r w:rsidRPr="008A157F">
          <w:rPr>
            <w:rStyle w:val="Hyperlink"/>
            <w:rFonts w:cstheme="minorHAnsi"/>
            <w:sz w:val="20"/>
            <w:szCs w:val="20"/>
          </w:rPr>
          <w:t>https://www.faceofit.com/sql-server-2014-server-cal-licensing/</w:t>
        </w:r>
      </w:hyperlink>
    </w:p>
    <w:p w14:paraId="5220FBE5"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In this post, we will focus on </w:t>
      </w:r>
      <w:r w:rsidRPr="008A157F">
        <w:rPr>
          <w:rStyle w:val="Strong"/>
          <w:rFonts w:asciiTheme="minorHAnsi" w:hAnsiTheme="minorHAnsi" w:cstheme="minorHAnsi"/>
          <w:color w:val="555555"/>
          <w:sz w:val="20"/>
          <w:szCs w:val="20"/>
        </w:rPr>
        <w:t>SQL Server 2014 Licensing: Server &amp; CAL Licensing</w:t>
      </w:r>
      <w:r w:rsidRPr="008A157F">
        <w:rPr>
          <w:rFonts w:asciiTheme="minorHAnsi" w:hAnsiTheme="minorHAnsi" w:cstheme="minorHAnsi"/>
          <w:color w:val="555555"/>
          <w:sz w:val="20"/>
          <w:szCs w:val="20"/>
        </w:rPr>
        <w:t>. Read along to know more:</w:t>
      </w:r>
    </w:p>
    <w:p w14:paraId="566C5D2D"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SQL Server 2014 Licensing: Server &amp; CAL Licensing</w:t>
      </w:r>
    </w:p>
    <w:p w14:paraId="163F7126"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In this post, we will only focus on the versions which would be purchased by most customers, i.e. </w:t>
      </w:r>
      <w:r w:rsidRPr="008A157F">
        <w:rPr>
          <w:rStyle w:val="Strong"/>
          <w:rFonts w:asciiTheme="minorHAnsi" w:hAnsiTheme="minorHAnsi" w:cstheme="minorHAnsi"/>
          <w:color w:val="555555"/>
          <w:sz w:val="20"/>
          <w:szCs w:val="20"/>
        </w:rPr>
        <w:t>Enterprise</w:t>
      </w:r>
      <w:r w:rsidRPr="008A157F">
        <w:rPr>
          <w:rFonts w:asciiTheme="minorHAnsi" w:hAnsiTheme="minorHAnsi" w:cstheme="minorHAnsi"/>
          <w:color w:val="555555"/>
          <w:sz w:val="20"/>
          <w:szCs w:val="20"/>
        </w:rPr>
        <w:t>, </w:t>
      </w:r>
      <w:r w:rsidRPr="008A157F">
        <w:rPr>
          <w:rStyle w:val="Strong"/>
          <w:rFonts w:asciiTheme="minorHAnsi" w:hAnsiTheme="minorHAnsi" w:cstheme="minorHAnsi"/>
          <w:color w:val="555555"/>
          <w:sz w:val="20"/>
          <w:szCs w:val="20"/>
        </w:rPr>
        <w:t>Standard</w:t>
      </w:r>
      <w:r w:rsidRPr="008A157F">
        <w:rPr>
          <w:rFonts w:asciiTheme="minorHAnsi" w:hAnsiTheme="minorHAnsi" w:cstheme="minorHAnsi"/>
          <w:color w:val="555555"/>
          <w:sz w:val="20"/>
          <w:szCs w:val="20"/>
        </w:rPr>
        <w:t> or </w:t>
      </w:r>
      <w:r w:rsidRPr="008A157F">
        <w:rPr>
          <w:rStyle w:val="Strong"/>
          <w:rFonts w:asciiTheme="minorHAnsi" w:hAnsiTheme="minorHAnsi" w:cstheme="minorHAnsi"/>
          <w:color w:val="555555"/>
          <w:sz w:val="20"/>
          <w:szCs w:val="20"/>
        </w:rPr>
        <w:t>Business</w:t>
      </w:r>
      <w:r w:rsidRPr="008A157F">
        <w:rPr>
          <w:rFonts w:asciiTheme="minorHAnsi" w:hAnsiTheme="minorHAnsi" w:cstheme="minorHAnsi"/>
          <w:color w:val="555555"/>
          <w:sz w:val="20"/>
          <w:szCs w:val="20"/>
        </w:rPr>
        <w:t> </w:t>
      </w:r>
      <w:r w:rsidRPr="008A157F">
        <w:rPr>
          <w:rStyle w:val="Strong"/>
          <w:rFonts w:asciiTheme="minorHAnsi" w:hAnsiTheme="minorHAnsi" w:cstheme="minorHAnsi"/>
          <w:color w:val="555555"/>
          <w:sz w:val="20"/>
          <w:szCs w:val="20"/>
        </w:rPr>
        <w:t>Intelligence</w:t>
      </w:r>
      <w:r w:rsidRPr="008A157F">
        <w:rPr>
          <w:rFonts w:asciiTheme="minorHAnsi" w:hAnsiTheme="minorHAnsi" w:cstheme="minorHAnsi"/>
          <w:color w:val="555555"/>
          <w:sz w:val="20"/>
          <w:szCs w:val="20"/>
        </w:rPr>
        <w:t> Edition. For these editions, SQL Server comes with two types of Licensing Models:</w:t>
      </w:r>
    </w:p>
    <w:p w14:paraId="1AE48491" w14:textId="77777777" w:rsidR="008A157F" w:rsidRPr="008A157F" w:rsidRDefault="008A157F" w:rsidP="008A157F">
      <w:pPr>
        <w:numPr>
          <w:ilvl w:val="0"/>
          <w:numId w:val="33"/>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Server/CAL based licensing</w:t>
      </w:r>
    </w:p>
    <w:p w14:paraId="4BBE6646" w14:textId="77777777" w:rsidR="008A157F" w:rsidRPr="008A157F" w:rsidRDefault="008A157F" w:rsidP="008A157F">
      <w:pPr>
        <w:numPr>
          <w:ilvl w:val="0"/>
          <w:numId w:val="33"/>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Core-based Licensing</w:t>
      </w:r>
    </w:p>
    <w:p w14:paraId="62665CBA" w14:textId="5AB362C6"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noProof/>
          <w:color w:val="555555"/>
          <w:sz w:val="20"/>
          <w:szCs w:val="20"/>
        </w:rPr>
        <w:drawing>
          <wp:inline distT="0" distB="0" distL="0" distR="0" wp14:anchorId="2496F15A" wp14:editId="3109A95F">
            <wp:extent cx="5943600" cy="1250950"/>
            <wp:effectExtent l="0" t="0" r="0" b="6350"/>
            <wp:docPr id="8" name="Picture 8" descr="SQL Server 2014 Licensing: Server &amp; CAL Lic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2014 Licensing: Server &amp; CAL Licen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0C00287C"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Server Cal Model of SQL Server</w:t>
      </w:r>
    </w:p>
    <w:p w14:paraId="7D1DD983"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Fonts w:asciiTheme="minorHAnsi" w:hAnsiTheme="minorHAnsi" w:cstheme="minorHAnsi"/>
          <w:b/>
          <w:bCs/>
          <w:i/>
          <w:iCs/>
          <w:color w:val="555555"/>
          <w:sz w:val="20"/>
          <w:szCs w:val="20"/>
        </w:rPr>
        <w:t> </w:t>
      </w:r>
      <w:r w:rsidRPr="008A157F">
        <w:rPr>
          <w:rStyle w:val="Strong"/>
          <w:rFonts w:asciiTheme="minorHAnsi" w:hAnsiTheme="minorHAnsi" w:cstheme="minorHAnsi"/>
          <w:i/>
          <w:iCs/>
          <w:color w:val="FF0000"/>
          <w:sz w:val="20"/>
          <w:szCs w:val="20"/>
        </w:rPr>
        <w:t>Only SQL Server Standard Edition is available in both Server/CAL as well as Core Licensing.</w:t>
      </w:r>
    </w:p>
    <w:p w14:paraId="7D2E66D4"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So, let us understand a bit more about the SQL Server Server/CAL Licensing models.  When licensing SQL Server software under the </w:t>
      </w:r>
      <w:proofErr w:type="spellStart"/>
      <w:r w:rsidRPr="008A157F">
        <w:rPr>
          <w:rFonts w:asciiTheme="minorHAnsi" w:hAnsiTheme="minorHAnsi" w:cstheme="minorHAnsi"/>
          <w:color w:val="555555"/>
          <w:sz w:val="20"/>
          <w:szCs w:val="20"/>
        </w:rPr>
        <w:t>Server+CAL</w:t>
      </w:r>
      <w:proofErr w:type="spellEnd"/>
      <w:r w:rsidRPr="008A157F">
        <w:rPr>
          <w:rFonts w:asciiTheme="minorHAnsi" w:hAnsiTheme="minorHAnsi" w:cstheme="minorHAnsi"/>
          <w:color w:val="555555"/>
          <w:sz w:val="20"/>
          <w:szCs w:val="20"/>
        </w:rPr>
        <w:t xml:space="preserve"> model, customers purchase a server license for each server, and a client access license (CAL) “OR” for a device (Device CAL).</w:t>
      </w:r>
    </w:p>
    <w:p w14:paraId="782BD71C"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A user needs to have a CAL’s to (User or Device CAL) access SQL Server or any of its components. A CAL is not software, it is a license granting users and devices access to the SQL Server software.</w:t>
      </w:r>
    </w:p>
    <w:p w14:paraId="44E8565E"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Client Access Licenses are “Paper Licenses” and are not technically enforced. Which means that, in an event of an audit, the customer needs to prove that they have the required licenses of SQL Server for all its Users or devices.</w:t>
      </w:r>
    </w:p>
    <w:p w14:paraId="20461E1B"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This method of Licensing is more cost effective than the CORE model, but the </w:t>
      </w:r>
      <w:proofErr w:type="spellStart"/>
      <w:proofErr w:type="gramStart"/>
      <w:r w:rsidRPr="008A157F">
        <w:rPr>
          <w:rFonts w:asciiTheme="minorHAnsi" w:hAnsiTheme="minorHAnsi" w:cstheme="minorHAnsi"/>
          <w:color w:val="555555"/>
          <w:sz w:val="20"/>
          <w:szCs w:val="20"/>
        </w:rPr>
        <w:t>break even</w:t>
      </w:r>
      <w:proofErr w:type="spellEnd"/>
      <w:proofErr w:type="gramEnd"/>
      <w:r w:rsidRPr="008A157F">
        <w:rPr>
          <w:rFonts w:asciiTheme="minorHAnsi" w:hAnsiTheme="minorHAnsi" w:cstheme="minorHAnsi"/>
          <w:color w:val="555555"/>
          <w:sz w:val="20"/>
          <w:szCs w:val="20"/>
        </w:rPr>
        <w:t xml:space="preserve"> point is 15-20 users Per CPU (depending upon the SQL Server version)</w:t>
      </w:r>
    </w:p>
    <w:p w14:paraId="3CFDB000"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 xml:space="preserve">Do note that SQL Server does not give you “Concurrent Licensing” model. </w:t>
      </w:r>
      <w:proofErr w:type="gramStart"/>
      <w:r w:rsidRPr="008A157F">
        <w:rPr>
          <w:rStyle w:val="Strong"/>
          <w:rFonts w:asciiTheme="minorHAnsi" w:hAnsiTheme="minorHAnsi" w:cstheme="minorHAnsi"/>
          <w:i/>
          <w:iCs/>
          <w:color w:val="FF0000"/>
          <w:sz w:val="20"/>
          <w:szCs w:val="20"/>
        </w:rPr>
        <w:t>So</w:t>
      </w:r>
      <w:proofErr w:type="gramEnd"/>
      <w:r w:rsidRPr="008A157F">
        <w:rPr>
          <w:rStyle w:val="Strong"/>
          <w:rFonts w:asciiTheme="minorHAnsi" w:hAnsiTheme="minorHAnsi" w:cstheme="minorHAnsi"/>
          <w:i/>
          <w:iCs/>
          <w:color w:val="FF0000"/>
          <w:sz w:val="20"/>
          <w:szCs w:val="20"/>
        </w:rPr>
        <w:t xml:space="preserve"> all users and clients (Application, Apps, Server Administrators etc.) who are directly or indirectly connecting to the SQL Server needs to have a valid license. </w:t>
      </w:r>
    </w:p>
    <w:p w14:paraId="6B55C0B2" w14:textId="34A259BF"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4DB5CA5C" wp14:editId="7EAC5769">
            <wp:extent cx="6696710" cy="2958465"/>
            <wp:effectExtent l="0" t="0" r="8890" b="0"/>
            <wp:docPr id="7" name="Picture 7" descr="SQL Server 2014 Licensing: Server &amp; CAL Lic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L Server 2014 Licensing: Server &amp; CAL Licens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6710" cy="2958465"/>
                    </a:xfrm>
                    <a:prstGeom prst="rect">
                      <a:avLst/>
                    </a:prstGeom>
                    <a:noFill/>
                    <a:ln>
                      <a:noFill/>
                    </a:ln>
                  </pic:spPr>
                </pic:pic>
              </a:graphicData>
            </a:graphic>
          </wp:inline>
        </w:drawing>
      </w:r>
    </w:p>
    <w:p w14:paraId="53CE5E8E"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SQL Server 2014 Licensing Guide</w:t>
      </w:r>
    </w:p>
    <w:p w14:paraId="2F0E4B06" w14:textId="77777777" w:rsidR="008A157F" w:rsidRPr="00EA1A5F" w:rsidRDefault="008A157F" w:rsidP="008A157F">
      <w:pPr>
        <w:pStyle w:val="Heading3"/>
        <w:shd w:val="clear" w:color="auto" w:fill="FFFFFF"/>
        <w:spacing w:before="300" w:after="120"/>
        <w:rPr>
          <w:rFonts w:asciiTheme="minorHAnsi" w:hAnsiTheme="minorHAnsi" w:cstheme="minorHAnsi"/>
          <w:b/>
          <w:bCs/>
          <w:color w:val="000000"/>
          <w:spacing w:val="-10"/>
          <w:sz w:val="20"/>
          <w:szCs w:val="20"/>
        </w:rPr>
      </w:pPr>
      <w:r w:rsidRPr="00EA1A5F">
        <w:rPr>
          <w:rFonts w:asciiTheme="minorHAnsi" w:hAnsiTheme="minorHAnsi" w:cstheme="minorHAnsi"/>
          <w:b/>
          <w:bCs/>
          <w:color w:val="000000"/>
          <w:spacing w:val="-10"/>
          <w:sz w:val="20"/>
          <w:szCs w:val="20"/>
          <w:highlight w:val="yellow"/>
        </w:rPr>
        <w:lastRenderedPageBreak/>
        <w:t>Here are the highlights of the Server CAL Model:</w:t>
      </w:r>
    </w:p>
    <w:p w14:paraId="5260EC10" w14:textId="77777777" w:rsidR="008A157F" w:rsidRPr="008A157F" w:rsidRDefault="008A157F" w:rsidP="008A157F">
      <w:pPr>
        <w:numPr>
          <w:ilvl w:val="0"/>
          <w:numId w:val="34"/>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Each OS running SQL Server 2014, or any components (SSIS, SSAS, SSRS, DQS, MDS) needs to have a server license assigned.</w:t>
      </w:r>
    </w:p>
    <w:p w14:paraId="6B4CF535" w14:textId="77777777" w:rsidR="008A157F" w:rsidRPr="008A157F" w:rsidRDefault="008A157F" w:rsidP="008A157F">
      <w:pPr>
        <w:numPr>
          <w:ilvl w:val="0"/>
          <w:numId w:val="34"/>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Number of Instances on the same OS does not require you to buy additional licenses.</w:t>
      </w:r>
    </w:p>
    <w:p w14:paraId="0267D277" w14:textId="77777777" w:rsidR="008A157F" w:rsidRPr="008A157F" w:rsidRDefault="008A157F" w:rsidP="008A157F">
      <w:pPr>
        <w:numPr>
          <w:ilvl w:val="0"/>
          <w:numId w:val="34"/>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Both Physical and </w:t>
      </w:r>
      <w:hyperlink r:id="rId29" w:history="1">
        <w:r w:rsidRPr="008A157F">
          <w:rPr>
            <w:rStyle w:val="Hyperlink"/>
            <w:rFonts w:cstheme="minorHAnsi"/>
            <w:b/>
            <w:bCs/>
            <w:sz w:val="20"/>
            <w:szCs w:val="20"/>
          </w:rPr>
          <w:t>Virtual environments</w:t>
        </w:r>
      </w:hyperlink>
      <w:r w:rsidRPr="008A157F">
        <w:rPr>
          <w:rFonts w:cstheme="minorHAnsi"/>
          <w:color w:val="555555"/>
          <w:sz w:val="20"/>
          <w:szCs w:val="20"/>
        </w:rPr>
        <w:t> are supported.</w:t>
      </w:r>
    </w:p>
    <w:p w14:paraId="6401DB65"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Note: Microsoft provides limited support for SQL Server 2014 running anything other than Hyper V. </w:t>
      </w:r>
      <w:hyperlink r:id="rId30" w:history="1">
        <w:r w:rsidRPr="008A157F">
          <w:rPr>
            <w:rStyle w:val="Hyperlink"/>
            <w:rFonts w:asciiTheme="minorHAnsi" w:hAnsiTheme="minorHAnsi" w:cstheme="minorHAnsi"/>
            <w:b/>
            <w:bCs/>
            <w:i/>
            <w:iCs/>
            <w:sz w:val="20"/>
            <w:szCs w:val="20"/>
          </w:rPr>
          <w:t>Read More.</w:t>
        </w:r>
      </w:hyperlink>
    </w:p>
    <w:p w14:paraId="364AAC6D" w14:textId="77777777" w:rsidR="008A157F" w:rsidRPr="008A157F" w:rsidRDefault="008A157F" w:rsidP="008A157F">
      <w:pPr>
        <w:numPr>
          <w:ilvl w:val="0"/>
          <w:numId w:val="35"/>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Separate Hardware partitions are considered as a different server and need to have a valid license.</w:t>
      </w:r>
    </w:p>
    <w:p w14:paraId="69C5B04E" w14:textId="77777777" w:rsidR="008A157F" w:rsidRPr="008A157F" w:rsidRDefault="008A157F" w:rsidP="008A157F">
      <w:pPr>
        <w:numPr>
          <w:ilvl w:val="0"/>
          <w:numId w:val="35"/>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CAL’s need to be of same or higher edition, in order to access SQL Server. For example, SQL Server 2016 CAL can access both 2016 and older versions.</w:t>
      </w:r>
    </w:p>
    <w:p w14:paraId="600990F4" w14:textId="77777777" w:rsidR="008A157F" w:rsidRPr="008A157F" w:rsidRDefault="008A157F" w:rsidP="008A157F">
      <w:pPr>
        <w:numPr>
          <w:ilvl w:val="0"/>
          <w:numId w:val="35"/>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 xml:space="preserve">CPU core count or </w:t>
      </w:r>
      <w:proofErr w:type="spellStart"/>
      <w:r w:rsidRPr="008A157F">
        <w:rPr>
          <w:rFonts w:cstheme="minorHAnsi"/>
          <w:color w:val="555555"/>
          <w:sz w:val="20"/>
          <w:szCs w:val="20"/>
        </w:rPr>
        <w:t>bitness</w:t>
      </w:r>
      <w:proofErr w:type="spellEnd"/>
      <w:r w:rsidRPr="008A157F">
        <w:rPr>
          <w:rFonts w:cstheme="minorHAnsi"/>
          <w:color w:val="555555"/>
          <w:sz w:val="20"/>
          <w:szCs w:val="20"/>
        </w:rPr>
        <w:t xml:space="preserve"> (32 bit &amp; 64 bit) is not applicable to Server/CAL/Device-based licensing method.</w:t>
      </w:r>
    </w:p>
    <w:p w14:paraId="6A0ABAB4" w14:textId="77777777" w:rsidR="008A157F" w:rsidRPr="008A157F" w:rsidRDefault="008A157F" w:rsidP="008A157F">
      <w:pPr>
        <w:numPr>
          <w:ilvl w:val="0"/>
          <w:numId w:val="35"/>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If you do not have a proper count of end users and devices, (Web App accessed anonymously) then Server/CAL license is invalid.</w:t>
      </w:r>
    </w:p>
    <w:p w14:paraId="38A971F8"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Here is the list of applications which are exempted from any type of SQL Server Licensing:</w:t>
      </w:r>
    </w:p>
    <w:p w14:paraId="5786041E"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Client Quality Connectivity</w:t>
      </w:r>
    </w:p>
    <w:p w14:paraId="4B58E89C"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Client Tools Backwards Compatibility</w:t>
      </w:r>
    </w:p>
    <w:p w14:paraId="2CE09039"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Client Tools Connectivity</w:t>
      </w:r>
    </w:p>
    <w:p w14:paraId="3E09B598"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Client Tools SDK</w:t>
      </w:r>
    </w:p>
    <w:p w14:paraId="15886EB9"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Data Quality Client</w:t>
      </w:r>
    </w:p>
    <w:p w14:paraId="2E0C7544"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Distributed Replay Client</w:t>
      </w:r>
    </w:p>
    <w:p w14:paraId="2EFB852D"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Documentation Components</w:t>
      </w:r>
    </w:p>
    <w:p w14:paraId="0230D02A"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Management Tools – Basic</w:t>
      </w:r>
    </w:p>
    <w:p w14:paraId="25AE934E"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Management Tools – Complete</w:t>
      </w:r>
    </w:p>
    <w:p w14:paraId="3555EC15"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Reporting Services Add-in for SharePoint Products</w:t>
      </w:r>
    </w:p>
    <w:p w14:paraId="3C4EBCD1" w14:textId="77777777" w:rsidR="008A157F" w:rsidRPr="008A157F" w:rsidRDefault="008A157F" w:rsidP="008A157F">
      <w:pPr>
        <w:numPr>
          <w:ilvl w:val="0"/>
          <w:numId w:val="36"/>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SQL Client Connectivity SDK</w:t>
      </w:r>
    </w:p>
    <w:p w14:paraId="33AE79F0" w14:textId="4C969F5E" w:rsid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All the components mentioned above are a part of the “</w:t>
      </w:r>
      <w:r w:rsidRPr="008A157F">
        <w:rPr>
          <w:rStyle w:val="Strong"/>
          <w:rFonts w:asciiTheme="minorHAnsi" w:hAnsiTheme="minorHAnsi" w:cstheme="minorHAnsi"/>
          <w:color w:val="555555"/>
          <w:sz w:val="20"/>
          <w:szCs w:val="20"/>
        </w:rPr>
        <w:t>Additional Software</w:t>
      </w:r>
      <w:r w:rsidRPr="008A157F">
        <w:rPr>
          <w:rFonts w:asciiTheme="minorHAnsi" w:hAnsiTheme="minorHAnsi" w:cstheme="minorHAnsi"/>
          <w:color w:val="555555"/>
          <w:sz w:val="20"/>
          <w:szCs w:val="20"/>
        </w:rPr>
        <w:t>” and you find the reference in the </w:t>
      </w:r>
      <w:hyperlink r:id="rId31" w:history="1">
        <w:r w:rsidRPr="008A157F">
          <w:rPr>
            <w:rStyle w:val="Hyperlink"/>
            <w:rFonts w:asciiTheme="minorHAnsi" w:hAnsiTheme="minorHAnsi" w:cstheme="minorHAnsi"/>
            <w:b/>
            <w:bCs/>
            <w:sz w:val="20"/>
            <w:szCs w:val="20"/>
          </w:rPr>
          <w:t>Product User Rights</w:t>
        </w:r>
      </w:hyperlink>
      <w:r w:rsidRPr="008A157F">
        <w:rPr>
          <w:rFonts w:asciiTheme="minorHAnsi" w:hAnsiTheme="minorHAnsi" w:cstheme="minorHAnsi"/>
          <w:color w:val="555555"/>
          <w:sz w:val="20"/>
          <w:szCs w:val="20"/>
        </w:rPr>
        <w:t> (PUR) document.</w:t>
      </w:r>
    </w:p>
    <w:p w14:paraId="496CC246" w14:textId="6C65CB32"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18314037" w14:textId="34794BFB"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2C64B965" w14:textId="2F293009"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5A2482AA" w14:textId="45B592D7"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61CF2F33" w14:textId="6452A359"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515175C8" w14:textId="3D205B70"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1D60B31A" w14:textId="21C3B700"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6C504A92" w14:textId="5F49BF7E"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2B4439BD" w14:textId="7367CFE3"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709F3B90" w14:textId="27BCE625"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14D5E366" w14:textId="6C817E3E"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3ED50796" w14:textId="0D90D119"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07B26A20" w14:textId="629E1062"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64E779BC" w14:textId="1F35FDFC"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755D7A78" w14:textId="1E304A34" w:rsidR="00EA1A5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3D9B6310" w14:textId="77777777" w:rsidR="00EA1A5F" w:rsidRPr="008A157F" w:rsidRDefault="00EA1A5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6BD59494" w14:textId="7BB1EAFF"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p>
    <w:p w14:paraId="0AC8B383" w14:textId="77777777" w:rsidR="008A157F" w:rsidRPr="00EA1A5F" w:rsidRDefault="008A157F" w:rsidP="008A157F">
      <w:pPr>
        <w:pStyle w:val="Heading1"/>
        <w:shd w:val="clear" w:color="auto" w:fill="FFFFFF"/>
        <w:spacing w:before="0" w:beforeAutospacing="0" w:after="150" w:afterAutospacing="0"/>
        <w:jc w:val="center"/>
        <w:rPr>
          <w:rFonts w:asciiTheme="minorHAnsi" w:hAnsiTheme="minorHAnsi" w:cstheme="minorHAnsi"/>
          <w:color w:val="000000"/>
          <w:spacing w:val="-10"/>
          <w:sz w:val="28"/>
          <w:szCs w:val="28"/>
        </w:rPr>
      </w:pPr>
      <w:r w:rsidRPr="00EA1A5F">
        <w:rPr>
          <w:rFonts w:asciiTheme="minorHAnsi" w:hAnsiTheme="minorHAnsi" w:cstheme="minorHAnsi"/>
          <w:color w:val="000000"/>
          <w:spacing w:val="-10"/>
          <w:sz w:val="28"/>
          <w:szCs w:val="28"/>
          <w:highlight w:val="yellow"/>
        </w:rPr>
        <w:lastRenderedPageBreak/>
        <w:t xml:space="preserve">SQL Server </w:t>
      </w:r>
      <w:proofErr w:type="gramStart"/>
      <w:r w:rsidRPr="00EA1A5F">
        <w:rPr>
          <w:rFonts w:asciiTheme="minorHAnsi" w:hAnsiTheme="minorHAnsi" w:cstheme="minorHAnsi"/>
          <w:color w:val="000000"/>
          <w:spacing w:val="-10"/>
          <w:sz w:val="28"/>
          <w:szCs w:val="28"/>
          <w:highlight w:val="yellow"/>
        </w:rPr>
        <w:t>2014 :</w:t>
      </w:r>
      <w:proofErr w:type="gramEnd"/>
      <w:r w:rsidRPr="00EA1A5F">
        <w:rPr>
          <w:rFonts w:asciiTheme="minorHAnsi" w:hAnsiTheme="minorHAnsi" w:cstheme="minorHAnsi"/>
          <w:color w:val="000000"/>
          <w:spacing w:val="-10"/>
          <w:sz w:val="28"/>
          <w:szCs w:val="28"/>
          <w:highlight w:val="yellow"/>
        </w:rPr>
        <w:t xml:space="preserve"> Licensing In A Virtual Machine</w:t>
      </w:r>
    </w:p>
    <w:p w14:paraId="5FB474BA" w14:textId="509B59F8" w:rsidR="008A157F" w:rsidRPr="008A157F" w:rsidRDefault="008A157F" w:rsidP="00EA1A5F">
      <w:pPr>
        <w:jc w:val="center"/>
        <w:rPr>
          <w:rFonts w:cstheme="minorHAnsi"/>
          <w:sz w:val="20"/>
          <w:szCs w:val="20"/>
        </w:rPr>
      </w:pPr>
      <w:hyperlink r:id="rId32" w:history="1">
        <w:r w:rsidRPr="008A157F">
          <w:rPr>
            <w:rStyle w:val="Hyperlink"/>
            <w:rFonts w:cstheme="minorHAnsi"/>
            <w:sz w:val="20"/>
            <w:szCs w:val="20"/>
          </w:rPr>
          <w:t>https://www.faceofit.com/sql-server-licensing-in-a-vm/</w:t>
        </w:r>
      </w:hyperlink>
    </w:p>
    <w:p w14:paraId="6499E36C"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 xml:space="preserve">SQL Server </w:t>
      </w:r>
      <w:proofErr w:type="gramStart"/>
      <w:r w:rsidRPr="008A157F">
        <w:rPr>
          <w:rFonts w:asciiTheme="minorHAnsi" w:hAnsiTheme="minorHAnsi" w:cstheme="minorHAnsi"/>
          <w:color w:val="000000"/>
          <w:spacing w:val="-10"/>
          <w:sz w:val="20"/>
          <w:szCs w:val="20"/>
        </w:rPr>
        <w:t>2014 :</w:t>
      </w:r>
      <w:proofErr w:type="gramEnd"/>
      <w:r w:rsidRPr="008A157F">
        <w:rPr>
          <w:rFonts w:asciiTheme="minorHAnsi" w:hAnsiTheme="minorHAnsi" w:cstheme="minorHAnsi"/>
          <w:color w:val="000000"/>
          <w:spacing w:val="-10"/>
          <w:sz w:val="20"/>
          <w:szCs w:val="20"/>
        </w:rPr>
        <w:t xml:space="preserve"> Licensing in a Virtual Machine</w:t>
      </w:r>
    </w:p>
    <w:p w14:paraId="7EB697BF"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SQL Server Licensing in a Virtual Machine can be a difficult thing to understand. You need to thoroughly understand the </w:t>
      </w:r>
      <w:hyperlink r:id="rId33" w:history="1">
        <w:r w:rsidRPr="008A157F">
          <w:rPr>
            <w:rStyle w:val="Hyperlink"/>
            <w:rFonts w:asciiTheme="minorHAnsi" w:hAnsiTheme="minorHAnsi" w:cstheme="minorHAnsi"/>
            <w:sz w:val="20"/>
            <w:szCs w:val="20"/>
          </w:rPr>
          <w:t>types of licensing available,</w:t>
        </w:r>
      </w:hyperlink>
      <w:r w:rsidRPr="008A157F">
        <w:rPr>
          <w:rFonts w:asciiTheme="minorHAnsi" w:hAnsiTheme="minorHAnsi" w:cstheme="minorHAnsi"/>
          <w:color w:val="555555"/>
          <w:sz w:val="20"/>
          <w:szCs w:val="20"/>
        </w:rPr>
        <w:t> i.e. </w:t>
      </w:r>
      <w:hyperlink r:id="rId34" w:history="1">
        <w:r w:rsidRPr="008A157F">
          <w:rPr>
            <w:rStyle w:val="Hyperlink"/>
            <w:rFonts w:asciiTheme="minorHAnsi" w:hAnsiTheme="minorHAnsi" w:cstheme="minorHAnsi"/>
            <w:sz w:val="20"/>
            <w:szCs w:val="20"/>
          </w:rPr>
          <w:t>Server/</w:t>
        </w:r>
        <w:proofErr w:type="spellStart"/>
        <w:r w:rsidRPr="008A157F">
          <w:rPr>
            <w:rStyle w:val="Hyperlink"/>
            <w:rFonts w:asciiTheme="minorHAnsi" w:hAnsiTheme="minorHAnsi" w:cstheme="minorHAnsi"/>
            <w:sz w:val="20"/>
            <w:szCs w:val="20"/>
          </w:rPr>
          <w:t>Core&amp;Device</w:t>
        </w:r>
        <w:proofErr w:type="spellEnd"/>
      </w:hyperlink>
      <w:r w:rsidRPr="008A157F">
        <w:rPr>
          <w:rFonts w:asciiTheme="minorHAnsi" w:hAnsiTheme="minorHAnsi" w:cstheme="minorHAnsi"/>
          <w:color w:val="555555"/>
          <w:sz w:val="20"/>
          <w:szCs w:val="20"/>
        </w:rPr>
        <w:t> CAL or </w:t>
      </w:r>
      <w:hyperlink r:id="rId35" w:history="1">
        <w:r w:rsidRPr="008A157F">
          <w:rPr>
            <w:rStyle w:val="Hyperlink"/>
            <w:rFonts w:asciiTheme="minorHAnsi" w:hAnsiTheme="minorHAnsi" w:cstheme="minorHAnsi"/>
            <w:sz w:val="20"/>
            <w:szCs w:val="20"/>
          </w:rPr>
          <w:t>Core-Based licensing</w:t>
        </w:r>
      </w:hyperlink>
      <w:r w:rsidRPr="008A157F">
        <w:rPr>
          <w:rFonts w:asciiTheme="minorHAnsi" w:hAnsiTheme="minorHAnsi" w:cstheme="minorHAnsi"/>
          <w:color w:val="555555"/>
          <w:sz w:val="20"/>
          <w:szCs w:val="20"/>
        </w:rPr>
        <w:t>. Once you understand the basics of Microsoft SQL Server licensing, you can easily understand how to license it in a Virtual Machine (VM) environment. More than 60% of the current SQL Server deployments are in the Virtual environments, and Microsoft expanded virtualization rights, options and benefits to provide greater flexibility for customers deploying in virtual environments.</w:t>
      </w:r>
    </w:p>
    <w:p w14:paraId="0579A6E4"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In order to License SQL Server in a virtual machine, you have 2 options:</w:t>
      </w:r>
    </w:p>
    <w:p w14:paraId="27043C31" w14:textId="77777777" w:rsidR="008A157F" w:rsidRPr="008A157F" w:rsidRDefault="008A157F" w:rsidP="008A157F">
      <w:pPr>
        <w:numPr>
          <w:ilvl w:val="0"/>
          <w:numId w:val="37"/>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License the VM running SQL Server software following either the </w:t>
      </w:r>
      <w:hyperlink r:id="rId36" w:history="1">
        <w:r w:rsidRPr="008A157F">
          <w:rPr>
            <w:rStyle w:val="Hyperlink"/>
            <w:rFonts w:cstheme="minorHAnsi"/>
            <w:sz w:val="20"/>
            <w:szCs w:val="20"/>
          </w:rPr>
          <w:t>Server/</w:t>
        </w:r>
        <w:proofErr w:type="spellStart"/>
        <w:r w:rsidRPr="008A157F">
          <w:rPr>
            <w:rStyle w:val="Hyperlink"/>
            <w:rFonts w:cstheme="minorHAnsi"/>
            <w:sz w:val="20"/>
            <w:szCs w:val="20"/>
          </w:rPr>
          <w:t>Core&amp;Device</w:t>
        </w:r>
        <w:proofErr w:type="spellEnd"/>
      </w:hyperlink>
      <w:r w:rsidRPr="008A157F">
        <w:rPr>
          <w:rFonts w:cstheme="minorHAnsi"/>
          <w:color w:val="555555"/>
          <w:sz w:val="20"/>
          <w:szCs w:val="20"/>
        </w:rPr>
        <w:t> CAL or </w:t>
      </w:r>
      <w:hyperlink r:id="rId37" w:history="1">
        <w:r w:rsidRPr="008A157F">
          <w:rPr>
            <w:rStyle w:val="Hyperlink"/>
            <w:rFonts w:cstheme="minorHAnsi"/>
            <w:sz w:val="20"/>
            <w:szCs w:val="20"/>
          </w:rPr>
          <w:t>Core-Based licensing</w:t>
        </w:r>
      </w:hyperlink>
      <w:r w:rsidRPr="008A157F">
        <w:rPr>
          <w:rFonts w:cstheme="minorHAnsi"/>
          <w:color w:val="555555"/>
          <w:sz w:val="20"/>
          <w:szCs w:val="20"/>
        </w:rPr>
        <w:t> based licensing model.</w:t>
      </w:r>
    </w:p>
    <w:p w14:paraId="6885E297" w14:textId="77777777" w:rsidR="008A157F" w:rsidRPr="008A157F" w:rsidRDefault="008A157F" w:rsidP="008A157F">
      <w:pPr>
        <w:numPr>
          <w:ilvl w:val="0"/>
          <w:numId w:val="37"/>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License the Physical server with SQL Server Enterprise &amp; </w:t>
      </w:r>
      <w:hyperlink r:id="rId38" w:history="1">
        <w:r w:rsidRPr="008A157F">
          <w:rPr>
            <w:rStyle w:val="Hyperlink"/>
            <w:rFonts w:cstheme="minorHAnsi"/>
            <w:sz w:val="20"/>
            <w:szCs w:val="20"/>
          </w:rPr>
          <w:t>Software Assurance</w:t>
        </w:r>
      </w:hyperlink>
      <w:r w:rsidRPr="008A157F">
        <w:rPr>
          <w:rFonts w:cstheme="minorHAnsi"/>
          <w:color w:val="555555"/>
          <w:sz w:val="20"/>
          <w:szCs w:val="20"/>
        </w:rPr>
        <w:t> in order to be able to license unlimited SQL Server running on the VM’s on the same physical server.</w:t>
      </w:r>
    </w:p>
    <w:p w14:paraId="73529CEF"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Buying Software Assurance with SQL Server gives you License mobility rights, VM Rights and Upgrade options to the next version of SQL Server.</w:t>
      </w:r>
    </w:p>
    <w:p w14:paraId="435B741C" w14:textId="6BFC4E31"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noProof/>
          <w:color w:val="555555"/>
          <w:sz w:val="20"/>
          <w:szCs w:val="20"/>
        </w:rPr>
        <w:drawing>
          <wp:inline distT="0" distB="0" distL="0" distR="0" wp14:anchorId="1FF22F36" wp14:editId="7FDCAEDA">
            <wp:extent cx="4882551" cy="3325561"/>
            <wp:effectExtent l="0" t="0" r="0" b="8255"/>
            <wp:docPr id="11" name="Picture 11" descr="SQL Server 2014 : Licensing in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QL Server 2014 : Licensing in a Virtual Mach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02544" cy="3339178"/>
                    </a:xfrm>
                    <a:prstGeom prst="rect">
                      <a:avLst/>
                    </a:prstGeom>
                    <a:noFill/>
                    <a:ln>
                      <a:noFill/>
                    </a:ln>
                  </pic:spPr>
                </pic:pic>
              </a:graphicData>
            </a:graphic>
          </wp:inline>
        </w:drawing>
      </w:r>
    </w:p>
    <w:p w14:paraId="2682369B"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Licensing Virtual Machines Using the </w:t>
      </w:r>
      <w:hyperlink r:id="rId40" w:history="1">
        <w:r w:rsidRPr="008A157F">
          <w:rPr>
            <w:rStyle w:val="Hyperlink"/>
            <w:rFonts w:asciiTheme="minorHAnsi" w:hAnsiTheme="minorHAnsi" w:cstheme="minorHAnsi"/>
            <w:spacing w:val="-10"/>
            <w:sz w:val="20"/>
            <w:szCs w:val="20"/>
          </w:rPr>
          <w:t>Per Core Licensing Model</w:t>
        </w:r>
      </w:hyperlink>
    </w:p>
    <w:p w14:paraId="6C75A961" w14:textId="77777777" w:rsidR="008A157F" w:rsidRPr="008A157F" w:rsidRDefault="008A157F" w:rsidP="008A157F">
      <w:pPr>
        <w:numPr>
          <w:ilvl w:val="0"/>
          <w:numId w:val="38"/>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 xml:space="preserve">You need to buy a core license for each virtual processor or a virtual </w:t>
      </w:r>
      <w:proofErr w:type="gramStart"/>
      <w:r w:rsidRPr="008A157F">
        <w:rPr>
          <w:rFonts w:cstheme="minorHAnsi"/>
          <w:color w:val="555555"/>
          <w:sz w:val="20"/>
          <w:szCs w:val="20"/>
        </w:rPr>
        <w:t>thread(</w:t>
      </w:r>
      <w:proofErr w:type="gramEnd"/>
      <w:r w:rsidRPr="008A157F">
        <w:rPr>
          <w:rFonts w:cstheme="minorHAnsi"/>
          <w:color w:val="555555"/>
          <w:sz w:val="20"/>
          <w:szCs w:val="20"/>
        </w:rPr>
        <w:t>Intel HTT) allocated to the VM.</w:t>
      </w:r>
    </w:p>
    <w:p w14:paraId="78EFDC9B" w14:textId="77777777" w:rsidR="008A157F" w:rsidRPr="008A157F" w:rsidRDefault="008A157F" w:rsidP="008A157F">
      <w:pPr>
        <w:numPr>
          <w:ilvl w:val="0"/>
          <w:numId w:val="38"/>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 xml:space="preserve">You need to buy minimum of a </w:t>
      </w:r>
      <w:proofErr w:type="gramStart"/>
      <w:r w:rsidRPr="008A157F">
        <w:rPr>
          <w:rFonts w:cstheme="minorHAnsi"/>
          <w:color w:val="555555"/>
          <w:sz w:val="20"/>
          <w:szCs w:val="20"/>
        </w:rPr>
        <w:t>four core</w:t>
      </w:r>
      <w:proofErr w:type="gramEnd"/>
      <w:r w:rsidRPr="008A157F">
        <w:rPr>
          <w:rFonts w:cstheme="minorHAnsi"/>
          <w:color w:val="555555"/>
          <w:sz w:val="20"/>
          <w:szCs w:val="20"/>
        </w:rPr>
        <w:t xml:space="preserve"> license per VM.</w:t>
      </w:r>
    </w:p>
    <w:p w14:paraId="24EF1594" w14:textId="77777777" w:rsidR="008A157F" w:rsidRPr="008A157F" w:rsidRDefault="008A157F" w:rsidP="008A157F">
      <w:pPr>
        <w:numPr>
          <w:ilvl w:val="0"/>
          <w:numId w:val="38"/>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Core factor is not applicable in this method.</w:t>
      </w:r>
    </w:p>
    <w:p w14:paraId="031B9E91" w14:textId="77777777" w:rsidR="008A157F" w:rsidRPr="008A157F" w:rsidRDefault="008A157F" w:rsidP="008A157F">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Note: You can only license individual VMs for SQL Server 2014 Standard Edition for customers who are running the software in a virtualized environment under the </w:t>
      </w:r>
      <w:hyperlink r:id="rId41" w:history="1">
        <w:r w:rsidRPr="008A157F">
          <w:rPr>
            <w:rStyle w:val="Hyperlink"/>
            <w:rFonts w:asciiTheme="minorHAnsi" w:hAnsiTheme="minorHAnsi" w:cstheme="minorHAnsi"/>
            <w:sz w:val="20"/>
            <w:szCs w:val="20"/>
          </w:rPr>
          <w:t>Per Core model</w:t>
        </w:r>
      </w:hyperlink>
      <w:r w:rsidRPr="008A157F">
        <w:rPr>
          <w:rFonts w:asciiTheme="minorHAnsi" w:hAnsiTheme="minorHAnsi" w:cstheme="minorHAnsi"/>
          <w:color w:val="555555"/>
          <w:sz w:val="20"/>
          <w:szCs w:val="20"/>
        </w:rPr>
        <w:t>.</w:t>
      </w:r>
    </w:p>
    <w:p w14:paraId="559EE54F" w14:textId="0E660C05"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lastRenderedPageBreak/>
        <w:drawing>
          <wp:inline distT="0" distB="0" distL="0" distR="0" wp14:anchorId="2909DBEC" wp14:editId="1779C2E1">
            <wp:extent cx="4988680" cy="2429534"/>
            <wp:effectExtent l="0" t="0" r="2540" b="8890"/>
            <wp:docPr id="10" name="Picture 10" descr="SQL Server 2014 : Licensing in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QL Server 2014 : Licensing in a Virtual Machin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02368" cy="2436200"/>
                    </a:xfrm>
                    <a:prstGeom prst="rect">
                      <a:avLst/>
                    </a:prstGeom>
                    <a:noFill/>
                    <a:ln>
                      <a:noFill/>
                    </a:ln>
                  </pic:spPr>
                </pic:pic>
              </a:graphicData>
            </a:graphic>
          </wp:inline>
        </w:drawing>
      </w:r>
    </w:p>
    <w:p w14:paraId="4BCFF03A"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033FBA77" w14:textId="77777777" w:rsidR="008A157F" w:rsidRPr="008A157F" w:rsidRDefault="008A157F" w:rsidP="008A157F">
      <w:pPr>
        <w:pStyle w:val="Heading3"/>
        <w:shd w:val="clear" w:color="auto" w:fill="FFFFFF"/>
        <w:spacing w:before="300" w:after="120"/>
        <w:rPr>
          <w:rFonts w:asciiTheme="minorHAnsi" w:hAnsiTheme="minorHAnsi" w:cstheme="minorHAnsi"/>
          <w:color w:val="000000"/>
          <w:spacing w:val="-10"/>
          <w:sz w:val="20"/>
          <w:szCs w:val="20"/>
        </w:rPr>
      </w:pPr>
      <w:r w:rsidRPr="008A157F">
        <w:rPr>
          <w:rFonts w:asciiTheme="minorHAnsi" w:hAnsiTheme="minorHAnsi" w:cstheme="minorHAnsi"/>
          <w:color w:val="000000"/>
          <w:spacing w:val="-10"/>
          <w:sz w:val="20"/>
          <w:szCs w:val="20"/>
        </w:rPr>
        <w:t>Licensing Virtual Machines Using the </w:t>
      </w:r>
      <w:proofErr w:type="spellStart"/>
      <w:r w:rsidRPr="008A157F">
        <w:rPr>
          <w:rFonts w:asciiTheme="minorHAnsi" w:hAnsiTheme="minorHAnsi" w:cstheme="minorHAnsi"/>
          <w:color w:val="000000"/>
          <w:spacing w:val="-10"/>
          <w:sz w:val="20"/>
          <w:szCs w:val="20"/>
        </w:rPr>
        <w:fldChar w:fldCharType="begin"/>
      </w:r>
      <w:r w:rsidRPr="008A157F">
        <w:rPr>
          <w:rFonts w:asciiTheme="minorHAnsi" w:hAnsiTheme="minorHAnsi" w:cstheme="minorHAnsi"/>
          <w:color w:val="000000"/>
          <w:spacing w:val="-10"/>
          <w:sz w:val="20"/>
          <w:szCs w:val="20"/>
        </w:rPr>
        <w:instrText xml:space="preserve"> HYPERLINK "https://www.faceofit.com/sql-server-2014-server-cal-licensing/" </w:instrText>
      </w:r>
      <w:r w:rsidRPr="008A157F">
        <w:rPr>
          <w:rFonts w:asciiTheme="minorHAnsi" w:hAnsiTheme="minorHAnsi" w:cstheme="minorHAnsi"/>
          <w:color w:val="000000"/>
          <w:spacing w:val="-10"/>
          <w:sz w:val="20"/>
          <w:szCs w:val="20"/>
        </w:rPr>
        <w:fldChar w:fldCharType="separate"/>
      </w:r>
      <w:r w:rsidRPr="008A157F">
        <w:rPr>
          <w:rStyle w:val="Hyperlink"/>
          <w:rFonts w:asciiTheme="minorHAnsi" w:hAnsiTheme="minorHAnsi" w:cstheme="minorHAnsi"/>
          <w:spacing w:val="-10"/>
          <w:sz w:val="20"/>
          <w:szCs w:val="20"/>
        </w:rPr>
        <w:t>Server+CAL</w:t>
      </w:r>
      <w:proofErr w:type="spellEnd"/>
      <w:r w:rsidRPr="008A157F">
        <w:rPr>
          <w:rStyle w:val="Hyperlink"/>
          <w:rFonts w:asciiTheme="minorHAnsi" w:hAnsiTheme="minorHAnsi" w:cstheme="minorHAnsi"/>
          <w:spacing w:val="-10"/>
          <w:sz w:val="20"/>
          <w:szCs w:val="20"/>
        </w:rPr>
        <w:t xml:space="preserve"> Licensing Model</w:t>
      </w:r>
      <w:r w:rsidRPr="008A157F">
        <w:rPr>
          <w:rFonts w:asciiTheme="minorHAnsi" w:hAnsiTheme="minorHAnsi" w:cstheme="minorHAnsi"/>
          <w:color w:val="000000"/>
          <w:spacing w:val="-10"/>
          <w:sz w:val="20"/>
          <w:szCs w:val="20"/>
        </w:rPr>
        <w:fldChar w:fldCharType="end"/>
      </w:r>
    </w:p>
    <w:p w14:paraId="3EE10F18" w14:textId="77777777" w:rsidR="008A157F" w:rsidRPr="008A157F" w:rsidRDefault="008A157F" w:rsidP="008A157F">
      <w:pPr>
        <w:numPr>
          <w:ilvl w:val="0"/>
          <w:numId w:val="39"/>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You need to buy one server license for each VM running SQL Server software, regardless of the number of virtual processors allocated to the VM.</w:t>
      </w:r>
    </w:p>
    <w:p w14:paraId="5B0CD779" w14:textId="77777777" w:rsidR="008A157F" w:rsidRPr="008A157F" w:rsidRDefault="008A157F" w:rsidP="008A157F">
      <w:pPr>
        <w:numPr>
          <w:ilvl w:val="0"/>
          <w:numId w:val="39"/>
        </w:numPr>
        <w:shd w:val="clear" w:color="auto" w:fill="FFFFFF"/>
        <w:spacing w:before="100" w:beforeAutospacing="1" w:after="100" w:afterAutospacing="1" w:line="240" w:lineRule="auto"/>
        <w:rPr>
          <w:rFonts w:cstheme="minorHAnsi"/>
          <w:color w:val="555555"/>
          <w:sz w:val="20"/>
          <w:szCs w:val="20"/>
        </w:rPr>
      </w:pPr>
      <w:r w:rsidRPr="008A157F">
        <w:rPr>
          <w:rFonts w:cstheme="minorHAnsi"/>
          <w:color w:val="555555"/>
          <w:sz w:val="20"/>
          <w:szCs w:val="20"/>
        </w:rPr>
        <w:t>CALS needs to be purchased for each client connections, connecting directly or indirectly.</w:t>
      </w:r>
    </w:p>
    <w:p w14:paraId="16B31FF1" w14:textId="77777777" w:rsidR="008A157F" w:rsidRPr="008A157F" w:rsidRDefault="008A157F" w:rsidP="008A157F">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Only available for SQL Server 2014 Standard and Business Intelligence editions.</w:t>
      </w:r>
    </w:p>
    <w:p w14:paraId="70DD1200" w14:textId="5C0F9054" w:rsidR="008A157F" w:rsidRPr="008A157F" w:rsidRDefault="008A157F" w:rsidP="008A157F">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7A46B423" wp14:editId="572D66CC">
            <wp:extent cx="5100823" cy="2336144"/>
            <wp:effectExtent l="0" t="0" r="5080" b="7620"/>
            <wp:docPr id="9" name="Picture 9" descr="SQL Server 2014 : Licensing in 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L Server 2014 : Licensing in a Virtual Machin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8730" cy="2348925"/>
                    </a:xfrm>
                    <a:prstGeom prst="rect">
                      <a:avLst/>
                    </a:prstGeom>
                    <a:noFill/>
                    <a:ln>
                      <a:noFill/>
                    </a:ln>
                  </pic:spPr>
                </pic:pic>
              </a:graphicData>
            </a:graphic>
          </wp:inline>
        </w:drawing>
      </w:r>
    </w:p>
    <w:p w14:paraId="6C0885B4" w14:textId="77777777" w:rsidR="008A157F" w:rsidRPr="008A157F" w:rsidRDefault="008A157F" w:rsidP="008A157F">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72D74D77" w14:textId="77777777" w:rsidR="008A157F" w:rsidRPr="008A157F" w:rsidRDefault="008A157F" w:rsidP="008A157F">
      <w:pPr>
        <w:rPr>
          <w:rFonts w:cstheme="minorHAnsi"/>
          <w:sz w:val="20"/>
          <w:szCs w:val="20"/>
          <w:highlight w:val="yellow"/>
        </w:rPr>
      </w:pPr>
    </w:p>
    <w:p w14:paraId="6A32011C" w14:textId="4D4B52F9" w:rsidR="008A157F" w:rsidRDefault="008A157F" w:rsidP="000A6870">
      <w:pPr>
        <w:pStyle w:val="Heading3"/>
        <w:shd w:val="clear" w:color="auto" w:fill="FFFFFF"/>
        <w:spacing w:before="300" w:after="120"/>
        <w:jc w:val="center"/>
        <w:rPr>
          <w:rFonts w:asciiTheme="minorHAnsi" w:hAnsiTheme="minorHAnsi" w:cstheme="minorHAnsi"/>
          <w:b/>
          <w:bCs/>
          <w:color w:val="000000"/>
          <w:spacing w:val="-10"/>
          <w:sz w:val="20"/>
          <w:szCs w:val="20"/>
          <w:highlight w:val="yellow"/>
        </w:rPr>
      </w:pPr>
    </w:p>
    <w:p w14:paraId="5DBAF7E4" w14:textId="68C4D312" w:rsidR="00A015CF" w:rsidRDefault="00A015CF" w:rsidP="00A015CF">
      <w:pPr>
        <w:rPr>
          <w:highlight w:val="yellow"/>
        </w:rPr>
      </w:pPr>
    </w:p>
    <w:p w14:paraId="61E2534C" w14:textId="42A26AD1" w:rsidR="00A015CF" w:rsidRDefault="00A015CF" w:rsidP="00A015CF">
      <w:pPr>
        <w:rPr>
          <w:highlight w:val="yellow"/>
        </w:rPr>
      </w:pPr>
    </w:p>
    <w:p w14:paraId="6BE8B674" w14:textId="59AC7ADF" w:rsidR="00A015CF" w:rsidRDefault="00A015CF" w:rsidP="00A015CF">
      <w:pPr>
        <w:rPr>
          <w:highlight w:val="yellow"/>
        </w:rPr>
      </w:pPr>
    </w:p>
    <w:p w14:paraId="48F2AB3B" w14:textId="209FD7B1" w:rsidR="00A015CF" w:rsidRDefault="00A015CF" w:rsidP="00A015CF">
      <w:pPr>
        <w:rPr>
          <w:highlight w:val="yellow"/>
        </w:rPr>
      </w:pPr>
    </w:p>
    <w:p w14:paraId="2F22724D" w14:textId="5787B502" w:rsidR="00A015CF" w:rsidRDefault="00A015CF" w:rsidP="00A015CF">
      <w:pPr>
        <w:rPr>
          <w:highlight w:val="yellow"/>
        </w:rPr>
      </w:pPr>
    </w:p>
    <w:p w14:paraId="0C38010B" w14:textId="77777777" w:rsidR="00A015CF" w:rsidRPr="00A015CF" w:rsidRDefault="00A015CF" w:rsidP="00A015CF">
      <w:pPr>
        <w:rPr>
          <w:highlight w:val="yellow"/>
        </w:rPr>
      </w:pPr>
    </w:p>
    <w:p w14:paraId="06FD1C1D" w14:textId="77777777" w:rsidR="008A157F" w:rsidRPr="008A157F" w:rsidRDefault="008A157F" w:rsidP="000A6870">
      <w:pPr>
        <w:pStyle w:val="Heading3"/>
        <w:shd w:val="clear" w:color="auto" w:fill="FFFFFF"/>
        <w:spacing w:before="300" w:after="120"/>
        <w:jc w:val="center"/>
        <w:rPr>
          <w:rFonts w:asciiTheme="minorHAnsi" w:hAnsiTheme="minorHAnsi" w:cstheme="minorHAnsi"/>
          <w:b/>
          <w:bCs/>
          <w:color w:val="000000"/>
          <w:spacing w:val="-10"/>
          <w:sz w:val="20"/>
          <w:szCs w:val="20"/>
          <w:highlight w:val="yellow"/>
        </w:rPr>
      </w:pPr>
    </w:p>
    <w:p w14:paraId="48FC3FB5" w14:textId="1B618377" w:rsidR="00FE03A6" w:rsidRPr="008A157F" w:rsidRDefault="00FE03A6" w:rsidP="000A6870">
      <w:pPr>
        <w:pStyle w:val="Heading3"/>
        <w:shd w:val="clear" w:color="auto" w:fill="FFFFFF"/>
        <w:spacing w:before="300" w:after="120"/>
        <w:jc w:val="center"/>
        <w:rPr>
          <w:rFonts w:asciiTheme="minorHAnsi" w:hAnsiTheme="minorHAnsi" w:cstheme="minorHAnsi"/>
          <w:b/>
          <w:bCs/>
          <w:color w:val="000000"/>
          <w:spacing w:val="-10"/>
          <w:sz w:val="20"/>
          <w:szCs w:val="20"/>
        </w:rPr>
      </w:pPr>
      <w:r w:rsidRPr="008A157F">
        <w:rPr>
          <w:rFonts w:asciiTheme="minorHAnsi" w:hAnsiTheme="minorHAnsi" w:cstheme="minorHAnsi"/>
          <w:b/>
          <w:bCs/>
          <w:color w:val="000000"/>
          <w:spacing w:val="-10"/>
          <w:sz w:val="20"/>
          <w:szCs w:val="20"/>
          <w:highlight w:val="yellow"/>
        </w:rPr>
        <w:t>Licensing SQL Server 2014 for High Availability</w:t>
      </w:r>
    </w:p>
    <w:p w14:paraId="7D7FFD4C" w14:textId="591DDEA0" w:rsidR="007A21BE" w:rsidRPr="008A157F" w:rsidRDefault="000A3861" w:rsidP="000A6870">
      <w:pPr>
        <w:jc w:val="center"/>
        <w:rPr>
          <w:rFonts w:cstheme="minorHAnsi"/>
          <w:sz w:val="20"/>
          <w:szCs w:val="20"/>
        </w:rPr>
      </w:pPr>
      <w:hyperlink r:id="rId44" w:history="1">
        <w:r w:rsidR="000A6870" w:rsidRPr="008A157F">
          <w:rPr>
            <w:rStyle w:val="Hyperlink"/>
            <w:rFonts w:cstheme="minorHAnsi"/>
            <w:sz w:val="20"/>
            <w:szCs w:val="20"/>
          </w:rPr>
          <w:t>https://www.faceofit.com/licensing-sql-server-2014-for-high-availability/</w:t>
        </w:r>
      </w:hyperlink>
    </w:p>
    <w:p w14:paraId="69F28739" w14:textId="183A9384" w:rsidR="000A6870" w:rsidRPr="008A157F" w:rsidRDefault="000A6870" w:rsidP="00FE03A6">
      <w:pPr>
        <w:rPr>
          <w:rFonts w:cstheme="minorHAnsi"/>
          <w:sz w:val="20"/>
          <w:szCs w:val="20"/>
        </w:rPr>
      </w:pPr>
    </w:p>
    <w:p w14:paraId="35B68468" w14:textId="77777777" w:rsidR="000A6870" w:rsidRPr="008A157F" w:rsidRDefault="000A6870" w:rsidP="000A6870">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Today, more and more SQL </w:t>
      </w:r>
      <w:proofErr w:type="spellStart"/>
      <w:r w:rsidRPr="008A157F">
        <w:rPr>
          <w:rFonts w:asciiTheme="minorHAnsi" w:hAnsiTheme="minorHAnsi" w:cstheme="minorHAnsi"/>
          <w:color w:val="555555"/>
          <w:sz w:val="20"/>
          <w:szCs w:val="20"/>
        </w:rPr>
        <w:t>Server’s</w:t>
      </w:r>
      <w:proofErr w:type="spellEnd"/>
      <w:r w:rsidRPr="008A157F">
        <w:rPr>
          <w:rFonts w:asciiTheme="minorHAnsi" w:hAnsiTheme="minorHAnsi" w:cstheme="minorHAnsi"/>
          <w:color w:val="555555"/>
          <w:sz w:val="20"/>
          <w:szCs w:val="20"/>
        </w:rPr>
        <w:t xml:space="preserve"> are being deployed in a High availability </w:t>
      </w:r>
      <w:proofErr w:type="gramStart"/>
      <w:r w:rsidRPr="008A157F">
        <w:rPr>
          <w:rFonts w:asciiTheme="minorHAnsi" w:hAnsiTheme="minorHAnsi" w:cstheme="minorHAnsi"/>
          <w:color w:val="555555"/>
          <w:sz w:val="20"/>
          <w:szCs w:val="20"/>
        </w:rPr>
        <w:t>scenario,  using</w:t>
      </w:r>
      <w:proofErr w:type="gramEnd"/>
      <w:r w:rsidRPr="008A157F">
        <w:rPr>
          <w:rFonts w:asciiTheme="minorHAnsi" w:hAnsiTheme="minorHAnsi" w:cstheme="minorHAnsi"/>
          <w:color w:val="555555"/>
          <w:sz w:val="20"/>
          <w:szCs w:val="20"/>
        </w:rPr>
        <w:t xml:space="preserve"> various technologies available, such as Database Mirroring, Log shipping, Hardware Clustering, Replication or Always On availability groups. In some cases, SQL </w:t>
      </w:r>
      <w:proofErr w:type="spellStart"/>
      <w:r w:rsidRPr="008A157F">
        <w:rPr>
          <w:rFonts w:asciiTheme="minorHAnsi" w:hAnsiTheme="minorHAnsi" w:cstheme="minorHAnsi"/>
          <w:color w:val="555555"/>
          <w:sz w:val="20"/>
          <w:szCs w:val="20"/>
        </w:rPr>
        <w:t>Server’s</w:t>
      </w:r>
      <w:proofErr w:type="spellEnd"/>
      <w:r w:rsidRPr="008A157F">
        <w:rPr>
          <w:rFonts w:asciiTheme="minorHAnsi" w:hAnsiTheme="minorHAnsi" w:cstheme="minorHAnsi"/>
          <w:color w:val="555555"/>
          <w:sz w:val="20"/>
          <w:szCs w:val="20"/>
        </w:rPr>
        <w:t xml:space="preserve"> are being </w:t>
      </w:r>
      <w:hyperlink r:id="rId45" w:history="1">
        <w:r w:rsidRPr="008A157F">
          <w:rPr>
            <w:rStyle w:val="Hyperlink"/>
            <w:rFonts w:asciiTheme="minorHAnsi" w:hAnsiTheme="minorHAnsi" w:cstheme="minorHAnsi"/>
            <w:sz w:val="20"/>
            <w:szCs w:val="20"/>
          </w:rPr>
          <w:t>deployed on a Virtual Machine</w:t>
        </w:r>
      </w:hyperlink>
      <w:r w:rsidRPr="008A157F">
        <w:rPr>
          <w:rFonts w:asciiTheme="minorHAnsi" w:hAnsiTheme="minorHAnsi" w:cstheme="minorHAnsi"/>
          <w:color w:val="555555"/>
          <w:sz w:val="20"/>
          <w:szCs w:val="20"/>
        </w:rPr>
        <w:t>, which in itself is highly available.</w:t>
      </w:r>
    </w:p>
    <w:p w14:paraId="36026C2A" w14:textId="77777777" w:rsidR="000A6870" w:rsidRPr="008A157F" w:rsidRDefault="000A6870" w:rsidP="000A6870">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Let’s talk about the various scenario’s in HA &amp; DR with SQL Server and how to properly license them.</w:t>
      </w:r>
    </w:p>
    <w:p w14:paraId="15FC4DB1" w14:textId="77777777" w:rsidR="000A6870" w:rsidRPr="008A157F" w:rsidRDefault="000A6870" w:rsidP="000A6870">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You need to buy </w:t>
      </w:r>
      <w:r w:rsidRPr="008A157F">
        <w:rPr>
          <w:rStyle w:val="Strong"/>
          <w:rFonts w:asciiTheme="minorHAnsi" w:hAnsiTheme="minorHAnsi" w:cstheme="minorHAnsi"/>
          <w:color w:val="555555"/>
          <w:sz w:val="20"/>
          <w:szCs w:val="20"/>
        </w:rPr>
        <w:t>Software Assurance</w:t>
      </w:r>
      <w:r w:rsidRPr="008A157F">
        <w:rPr>
          <w:rFonts w:asciiTheme="minorHAnsi" w:hAnsiTheme="minorHAnsi" w:cstheme="minorHAnsi"/>
          <w:color w:val="555555"/>
          <w:sz w:val="20"/>
          <w:szCs w:val="20"/>
        </w:rPr>
        <w:t> for all SQL Server’s which needs to have a “Warm” passive server for failover purposes. The SA (Software Assurance) benefit will ensure “</w:t>
      </w:r>
      <w:r w:rsidRPr="008A157F">
        <w:rPr>
          <w:rStyle w:val="Strong"/>
          <w:rFonts w:asciiTheme="minorHAnsi" w:hAnsiTheme="minorHAnsi" w:cstheme="minorHAnsi"/>
          <w:color w:val="555555"/>
          <w:sz w:val="20"/>
          <w:szCs w:val="20"/>
          <w:u w:val="single"/>
        </w:rPr>
        <w:t>License Mobility Rights</w:t>
      </w:r>
      <w:r w:rsidRPr="008A157F">
        <w:rPr>
          <w:rFonts w:asciiTheme="minorHAnsi" w:hAnsiTheme="minorHAnsi" w:cstheme="minorHAnsi"/>
          <w:color w:val="555555"/>
          <w:sz w:val="20"/>
          <w:szCs w:val="20"/>
        </w:rPr>
        <w:t>” so that you do not need to buy additional licenses for the failover partner.</w:t>
      </w:r>
    </w:p>
    <w:p w14:paraId="0B3D4F41" w14:textId="77777777" w:rsidR="000A6870" w:rsidRPr="008A157F" w:rsidRDefault="000A6870" w:rsidP="000A6870">
      <w:pPr>
        <w:pStyle w:val="NormalWeb"/>
        <w:shd w:val="clear" w:color="auto" w:fill="FFFFFF"/>
        <w:spacing w:before="0" w:beforeAutospacing="0" w:after="0" w:afterAutospacing="0"/>
        <w:rPr>
          <w:rFonts w:asciiTheme="minorHAnsi" w:hAnsiTheme="minorHAnsi" w:cstheme="minorHAnsi"/>
          <w:b/>
          <w:bCs/>
          <w:i/>
          <w:iCs/>
          <w:color w:val="555555"/>
          <w:sz w:val="20"/>
          <w:szCs w:val="20"/>
        </w:rPr>
      </w:pPr>
      <w:r w:rsidRPr="008A157F">
        <w:rPr>
          <w:rStyle w:val="Strong"/>
          <w:rFonts w:asciiTheme="minorHAnsi" w:hAnsiTheme="minorHAnsi" w:cstheme="minorHAnsi"/>
          <w:i/>
          <w:iCs/>
          <w:color w:val="FF0000"/>
          <w:sz w:val="20"/>
          <w:szCs w:val="20"/>
        </w:rPr>
        <w:t xml:space="preserve">Note: You cannot run any </w:t>
      </w:r>
      <w:proofErr w:type="gramStart"/>
      <w:r w:rsidRPr="008A157F">
        <w:rPr>
          <w:rStyle w:val="Strong"/>
          <w:rFonts w:asciiTheme="minorHAnsi" w:hAnsiTheme="minorHAnsi" w:cstheme="minorHAnsi"/>
          <w:i/>
          <w:iCs/>
          <w:color w:val="FF0000"/>
          <w:sz w:val="20"/>
          <w:szCs w:val="20"/>
        </w:rPr>
        <w:t>workloads(</w:t>
      </w:r>
      <w:proofErr w:type="gramEnd"/>
      <w:r w:rsidRPr="008A157F">
        <w:rPr>
          <w:rStyle w:val="Strong"/>
          <w:rFonts w:asciiTheme="minorHAnsi" w:hAnsiTheme="minorHAnsi" w:cstheme="minorHAnsi"/>
          <w:i/>
          <w:iCs/>
          <w:color w:val="FF0000"/>
          <w:sz w:val="20"/>
          <w:szCs w:val="20"/>
        </w:rPr>
        <w:t>Reporting, Querying etc.) on the secondary server. If you do, you need to “Fully” license the second SQL Server. Only Standby servers are supported.</w:t>
      </w:r>
    </w:p>
    <w:p w14:paraId="4A161CD2" w14:textId="54EE84AB" w:rsidR="000A6870" w:rsidRPr="008A157F" w:rsidRDefault="000A6870" w:rsidP="000A6870">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1E6B0486" wp14:editId="7F0331AA">
            <wp:extent cx="4511615" cy="1667578"/>
            <wp:effectExtent l="0" t="0" r="3810" b="8890"/>
            <wp:docPr id="16" name="Picture 16" descr="Licensing SQL Server 2014 for High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icensing SQL Server 2014 for High Availabilit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56843" cy="1684295"/>
                    </a:xfrm>
                    <a:prstGeom prst="rect">
                      <a:avLst/>
                    </a:prstGeom>
                    <a:noFill/>
                    <a:ln>
                      <a:noFill/>
                    </a:ln>
                  </pic:spPr>
                </pic:pic>
              </a:graphicData>
            </a:graphic>
          </wp:inline>
        </w:drawing>
      </w:r>
    </w:p>
    <w:p w14:paraId="4D5C8492" w14:textId="77777777" w:rsidR="000A6870" w:rsidRPr="008A157F" w:rsidRDefault="000A6870" w:rsidP="000A6870">
      <w:pPr>
        <w:pStyle w:val="wp-caption-text"/>
        <w:shd w:val="clear" w:color="auto" w:fill="FFFFFF"/>
        <w:spacing w:before="120" w:beforeAutospacing="0" w:after="0" w:afterAutospacing="0" w:line="255" w:lineRule="atLeast"/>
        <w:rPr>
          <w:rFonts w:asciiTheme="minorHAnsi" w:hAnsiTheme="minorHAnsi" w:cstheme="minorHAnsi"/>
          <w:b/>
          <w:bCs/>
          <w:i/>
          <w:iCs/>
          <w:color w:val="888888"/>
          <w:sz w:val="20"/>
          <w:szCs w:val="20"/>
        </w:rPr>
      </w:pPr>
      <w:r w:rsidRPr="008A157F">
        <w:rPr>
          <w:rFonts w:asciiTheme="minorHAnsi" w:hAnsiTheme="minorHAnsi" w:cstheme="minorHAnsi"/>
          <w:b/>
          <w:bCs/>
          <w:i/>
          <w:iCs/>
          <w:color w:val="888888"/>
          <w:sz w:val="20"/>
          <w:szCs w:val="20"/>
          <w:highlight w:val="yellow"/>
        </w:rPr>
        <w:t>Source: Microsoft Licensing Guide for SQL 2014</w:t>
      </w:r>
    </w:p>
    <w:p w14:paraId="7156BE89" w14:textId="77777777" w:rsidR="000A6870" w:rsidRPr="008A157F" w:rsidRDefault="000A6870" w:rsidP="000A6870">
      <w:pPr>
        <w:pStyle w:val="NormalWeb"/>
        <w:shd w:val="clear" w:color="auto" w:fill="FFFFFF"/>
        <w:spacing w:before="0" w:beforeAutospacing="0" w:after="150" w:afterAutospacing="0"/>
        <w:rPr>
          <w:rFonts w:asciiTheme="minorHAnsi" w:hAnsiTheme="minorHAnsi" w:cstheme="minorHAnsi"/>
          <w:color w:val="555555"/>
          <w:sz w:val="20"/>
          <w:szCs w:val="20"/>
        </w:rPr>
      </w:pPr>
      <w:r w:rsidRPr="008A157F">
        <w:rPr>
          <w:rFonts w:asciiTheme="minorHAnsi" w:hAnsiTheme="minorHAnsi" w:cstheme="minorHAnsi"/>
          <w:color w:val="555555"/>
          <w:sz w:val="20"/>
          <w:szCs w:val="20"/>
        </w:rPr>
        <w:t xml:space="preserve">In the following scenario, </w:t>
      </w:r>
      <w:proofErr w:type="gramStart"/>
      <w:r w:rsidRPr="008A157F">
        <w:rPr>
          <w:rFonts w:asciiTheme="minorHAnsi" w:hAnsiTheme="minorHAnsi" w:cstheme="minorHAnsi"/>
          <w:color w:val="555555"/>
          <w:sz w:val="20"/>
          <w:szCs w:val="20"/>
        </w:rPr>
        <w:t>One</w:t>
      </w:r>
      <w:proofErr w:type="gramEnd"/>
      <w:r w:rsidRPr="008A157F">
        <w:rPr>
          <w:rFonts w:asciiTheme="minorHAnsi" w:hAnsiTheme="minorHAnsi" w:cstheme="minorHAnsi"/>
          <w:color w:val="555555"/>
          <w:sz w:val="20"/>
          <w:szCs w:val="20"/>
        </w:rPr>
        <w:t xml:space="preserve"> location is covered under the SA benefit. However, since there are 2 secondaries, you need to purchase the required number of licenses for maintaining two DR sites.</w:t>
      </w:r>
    </w:p>
    <w:p w14:paraId="27D88462" w14:textId="601D282D" w:rsidR="000A6870" w:rsidRPr="008A157F" w:rsidRDefault="000A6870" w:rsidP="000A6870">
      <w:pPr>
        <w:shd w:val="clear" w:color="auto" w:fill="FFFFFF"/>
        <w:rPr>
          <w:rFonts w:cstheme="minorHAnsi"/>
          <w:i/>
          <w:iCs/>
          <w:color w:val="000000"/>
          <w:sz w:val="20"/>
          <w:szCs w:val="20"/>
        </w:rPr>
      </w:pPr>
      <w:r w:rsidRPr="008A157F">
        <w:rPr>
          <w:rFonts w:cstheme="minorHAnsi"/>
          <w:i/>
          <w:iCs/>
          <w:noProof/>
          <w:color w:val="000000"/>
          <w:sz w:val="20"/>
          <w:szCs w:val="20"/>
        </w:rPr>
        <w:drawing>
          <wp:inline distT="0" distB="0" distL="0" distR="0" wp14:anchorId="0A9949F2" wp14:editId="268C8593">
            <wp:extent cx="5400136" cy="2629916"/>
            <wp:effectExtent l="0" t="0" r="0" b="0"/>
            <wp:docPr id="15" name="Picture 15" descr="Licensing SQL Server 2014 for High Avail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icensing SQL Server 2014 for High Availability"/>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5800" cy="2647285"/>
                    </a:xfrm>
                    <a:prstGeom prst="rect">
                      <a:avLst/>
                    </a:prstGeom>
                    <a:noFill/>
                    <a:ln>
                      <a:noFill/>
                    </a:ln>
                  </pic:spPr>
                </pic:pic>
              </a:graphicData>
            </a:graphic>
          </wp:inline>
        </w:drawing>
      </w:r>
    </w:p>
    <w:p w14:paraId="385B6BC2" w14:textId="77777777" w:rsidR="000A6870" w:rsidRPr="008A157F" w:rsidRDefault="000A6870" w:rsidP="000A6870">
      <w:pPr>
        <w:pStyle w:val="wp-caption-text"/>
        <w:shd w:val="clear" w:color="auto" w:fill="FFFFFF"/>
        <w:spacing w:before="120" w:beforeAutospacing="0" w:after="0" w:afterAutospacing="0" w:line="255" w:lineRule="atLeast"/>
        <w:rPr>
          <w:rFonts w:asciiTheme="minorHAnsi" w:hAnsiTheme="minorHAnsi" w:cstheme="minorHAnsi"/>
          <w:i/>
          <w:iCs/>
          <w:color w:val="888888"/>
          <w:sz w:val="20"/>
          <w:szCs w:val="20"/>
        </w:rPr>
      </w:pPr>
      <w:r w:rsidRPr="008A157F">
        <w:rPr>
          <w:rFonts w:asciiTheme="minorHAnsi" w:hAnsiTheme="minorHAnsi" w:cstheme="minorHAnsi"/>
          <w:i/>
          <w:iCs/>
          <w:color w:val="888888"/>
          <w:sz w:val="20"/>
          <w:szCs w:val="20"/>
        </w:rPr>
        <w:t>Source: Microsoft Licensing Guide for SQL 2014</w:t>
      </w:r>
    </w:p>
    <w:p w14:paraId="2641C83F" w14:textId="77777777" w:rsidR="000A6870" w:rsidRPr="008A157F" w:rsidRDefault="000A6870" w:rsidP="000A6870">
      <w:pPr>
        <w:pStyle w:val="Heading3"/>
        <w:shd w:val="clear" w:color="auto" w:fill="FFFFFF"/>
        <w:spacing w:before="300" w:after="120"/>
        <w:rPr>
          <w:rFonts w:asciiTheme="minorHAnsi" w:hAnsiTheme="minorHAnsi" w:cstheme="minorHAnsi"/>
          <w:b/>
          <w:bCs/>
          <w:color w:val="000000"/>
          <w:spacing w:val="-10"/>
          <w:sz w:val="20"/>
          <w:szCs w:val="20"/>
        </w:rPr>
      </w:pPr>
      <w:r w:rsidRPr="008A157F">
        <w:rPr>
          <w:rFonts w:asciiTheme="minorHAnsi" w:hAnsiTheme="minorHAnsi" w:cstheme="minorHAnsi"/>
          <w:b/>
          <w:bCs/>
          <w:color w:val="000000"/>
          <w:spacing w:val="-10"/>
          <w:sz w:val="20"/>
          <w:szCs w:val="20"/>
          <w:highlight w:val="yellow"/>
        </w:rPr>
        <w:t>Licensing SQL Server 2014 under the </w:t>
      </w:r>
      <w:hyperlink r:id="rId48" w:history="1">
        <w:r w:rsidRPr="008A157F">
          <w:rPr>
            <w:rStyle w:val="Hyperlink"/>
            <w:rFonts w:asciiTheme="minorHAnsi" w:hAnsiTheme="minorHAnsi" w:cstheme="minorHAnsi"/>
            <w:b/>
            <w:bCs/>
            <w:spacing w:val="-10"/>
            <w:sz w:val="20"/>
            <w:szCs w:val="20"/>
            <w:highlight w:val="yellow"/>
          </w:rPr>
          <w:t>Per Core model</w:t>
        </w:r>
      </w:hyperlink>
      <w:r w:rsidRPr="008A157F">
        <w:rPr>
          <w:rFonts w:asciiTheme="minorHAnsi" w:hAnsiTheme="minorHAnsi" w:cstheme="minorHAnsi"/>
          <w:b/>
          <w:bCs/>
          <w:color w:val="000000"/>
          <w:spacing w:val="-10"/>
          <w:sz w:val="20"/>
          <w:szCs w:val="20"/>
          <w:highlight w:val="yellow"/>
        </w:rPr>
        <w:t>:</w:t>
      </w:r>
    </w:p>
    <w:p w14:paraId="44ABD966" w14:textId="77777777" w:rsidR="000A6870" w:rsidRPr="000A3861" w:rsidRDefault="000A6870" w:rsidP="000A6870">
      <w:pPr>
        <w:numPr>
          <w:ilvl w:val="0"/>
          <w:numId w:val="27"/>
        </w:numPr>
        <w:shd w:val="clear" w:color="auto" w:fill="FFFFFF"/>
        <w:spacing w:before="100" w:beforeAutospacing="1" w:after="100" w:afterAutospacing="1" w:line="240" w:lineRule="auto"/>
        <w:rPr>
          <w:rFonts w:cstheme="minorHAnsi"/>
          <w:color w:val="555555"/>
          <w:sz w:val="18"/>
          <w:szCs w:val="18"/>
        </w:rPr>
      </w:pPr>
      <w:r w:rsidRPr="000A3861">
        <w:rPr>
          <w:rFonts w:cstheme="minorHAnsi"/>
          <w:color w:val="555555"/>
          <w:sz w:val="18"/>
          <w:szCs w:val="18"/>
        </w:rPr>
        <w:t>The Server which has more CPU Cores needs to be covered under the </w:t>
      </w:r>
      <w:hyperlink r:id="rId49" w:history="1">
        <w:r w:rsidRPr="000A3861">
          <w:rPr>
            <w:rStyle w:val="Hyperlink"/>
            <w:rFonts w:cstheme="minorHAnsi"/>
            <w:sz w:val="18"/>
            <w:szCs w:val="18"/>
          </w:rPr>
          <w:t>Core based licensing method</w:t>
        </w:r>
      </w:hyperlink>
      <w:r w:rsidRPr="000A3861">
        <w:rPr>
          <w:rFonts w:cstheme="minorHAnsi"/>
          <w:color w:val="555555"/>
          <w:sz w:val="18"/>
          <w:szCs w:val="18"/>
        </w:rPr>
        <w:t>.</w:t>
      </w:r>
    </w:p>
    <w:p w14:paraId="0FC006F5" w14:textId="77777777" w:rsidR="000A6870" w:rsidRPr="000A3861" w:rsidRDefault="000A6870" w:rsidP="000A6870">
      <w:pPr>
        <w:numPr>
          <w:ilvl w:val="0"/>
          <w:numId w:val="27"/>
        </w:numPr>
        <w:shd w:val="clear" w:color="auto" w:fill="FFFFFF"/>
        <w:spacing w:before="100" w:beforeAutospacing="1" w:after="100" w:afterAutospacing="1" w:line="240" w:lineRule="auto"/>
        <w:rPr>
          <w:rFonts w:cstheme="minorHAnsi"/>
          <w:color w:val="555555"/>
          <w:sz w:val="18"/>
          <w:szCs w:val="18"/>
        </w:rPr>
      </w:pPr>
      <w:r w:rsidRPr="000A3861">
        <w:rPr>
          <w:rFonts w:cstheme="minorHAnsi"/>
          <w:color w:val="555555"/>
          <w:sz w:val="18"/>
          <w:szCs w:val="18"/>
        </w:rPr>
        <w:t xml:space="preserve">If your primary server has 6 </w:t>
      </w:r>
      <w:proofErr w:type="gramStart"/>
      <w:r w:rsidRPr="000A3861">
        <w:rPr>
          <w:rFonts w:cstheme="minorHAnsi"/>
          <w:color w:val="555555"/>
          <w:sz w:val="18"/>
          <w:szCs w:val="18"/>
        </w:rPr>
        <w:t>core</w:t>
      </w:r>
      <w:proofErr w:type="gramEnd"/>
      <w:r w:rsidRPr="000A3861">
        <w:rPr>
          <w:rFonts w:cstheme="minorHAnsi"/>
          <w:color w:val="555555"/>
          <w:sz w:val="18"/>
          <w:szCs w:val="18"/>
        </w:rPr>
        <w:t>, and the secondary passive site has 8, you need to buy 8 licenses with Software assurance to cover both the installations.</w:t>
      </w:r>
    </w:p>
    <w:p w14:paraId="54D7A3DE" w14:textId="77777777" w:rsidR="000A6870" w:rsidRPr="000A3861" w:rsidRDefault="000A6870" w:rsidP="000A6870">
      <w:pPr>
        <w:numPr>
          <w:ilvl w:val="0"/>
          <w:numId w:val="27"/>
        </w:numPr>
        <w:shd w:val="clear" w:color="auto" w:fill="FFFFFF"/>
        <w:spacing w:before="100" w:beforeAutospacing="1" w:after="100" w:afterAutospacing="1" w:line="240" w:lineRule="auto"/>
        <w:rPr>
          <w:rFonts w:cstheme="minorHAnsi"/>
          <w:color w:val="555555"/>
          <w:sz w:val="18"/>
          <w:szCs w:val="18"/>
        </w:rPr>
      </w:pPr>
      <w:r w:rsidRPr="000A3861">
        <w:rPr>
          <w:rFonts w:cstheme="minorHAnsi"/>
          <w:color w:val="555555"/>
          <w:sz w:val="18"/>
          <w:szCs w:val="18"/>
        </w:rPr>
        <w:t>In case of a failover, the License is dynamically assigned to the secondary server under the “License Mobility Rights”</w:t>
      </w:r>
    </w:p>
    <w:p w14:paraId="389CC89C" w14:textId="77777777" w:rsidR="00DE5F0C" w:rsidRPr="000A3861" w:rsidRDefault="000A6870" w:rsidP="00673A90">
      <w:pPr>
        <w:numPr>
          <w:ilvl w:val="0"/>
          <w:numId w:val="27"/>
        </w:numPr>
        <w:shd w:val="clear" w:color="auto" w:fill="FFFFFF"/>
        <w:spacing w:after="0" w:line="240" w:lineRule="auto"/>
        <w:rPr>
          <w:rFonts w:cstheme="minorHAnsi"/>
          <w:b/>
          <w:bCs/>
          <w:i/>
          <w:iCs/>
          <w:color w:val="555555"/>
          <w:sz w:val="18"/>
          <w:szCs w:val="18"/>
        </w:rPr>
      </w:pPr>
      <w:r w:rsidRPr="000A3861">
        <w:rPr>
          <w:rFonts w:cstheme="minorHAnsi"/>
          <w:color w:val="555555"/>
          <w:sz w:val="18"/>
          <w:szCs w:val="18"/>
        </w:rPr>
        <w:t xml:space="preserve">In case of Always </w:t>
      </w:r>
      <w:proofErr w:type="gramStart"/>
      <w:r w:rsidRPr="000A3861">
        <w:rPr>
          <w:rFonts w:cstheme="minorHAnsi"/>
          <w:color w:val="555555"/>
          <w:sz w:val="18"/>
          <w:szCs w:val="18"/>
        </w:rPr>
        <w:t>On</w:t>
      </w:r>
      <w:proofErr w:type="gramEnd"/>
      <w:r w:rsidRPr="000A3861">
        <w:rPr>
          <w:rFonts w:cstheme="minorHAnsi"/>
          <w:color w:val="555555"/>
          <w:sz w:val="18"/>
          <w:szCs w:val="18"/>
        </w:rPr>
        <w:t xml:space="preserve"> Availability groups, all SQL Servers servicing active server workloads needs to be fully licensed.</w:t>
      </w:r>
    </w:p>
    <w:p w14:paraId="1A39E175" w14:textId="7DA36C81" w:rsidR="000A6870" w:rsidRPr="000A3861" w:rsidRDefault="000A6870" w:rsidP="005264D2">
      <w:pPr>
        <w:numPr>
          <w:ilvl w:val="0"/>
          <w:numId w:val="27"/>
        </w:numPr>
        <w:shd w:val="clear" w:color="auto" w:fill="FFFFFF"/>
        <w:spacing w:after="0" w:line="240" w:lineRule="auto"/>
        <w:rPr>
          <w:rFonts w:cstheme="minorHAnsi"/>
          <w:sz w:val="20"/>
          <w:szCs w:val="20"/>
        </w:rPr>
      </w:pPr>
      <w:r w:rsidRPr="000A3861">
        <w:rPr>
          <w:rStyle w:val="Strong"/>
          <w:rFonts w:cstheme="minorHAnsi"/>
          <w:i/>
          <w:iCs/>
          <w:color w:val="FF0000"/>
          <w:sz w:val="18"/>
          <w:szCs w:val="18"/>
        </w:rPr>
        <w:t xml:space="preserve">For Always </w:t>
      </w:r>
      <w:proofErr w:type="gramStart"/>
      <w:r w:rsidRPr="000A3861">
        <w:rPr>
          <w:rStyle w:val="Strong"/>
          <w:rFonts w:cstheme="minorHAnsi"/>
          <w:i/>
          <w:iCs/>
          <w:color w:val="FF0000"/>
          <w:sz w:val="18"/>
          <w:szCs w:val="18"/>
        </w:rPr>
        <w:t>On</w:t>
      </w:r>
      <w:proofErr w:type="gramEnd"/>
      <w:r w:rsidRPr="000A3861">
        <w:rPr>
          <w:rStyle w:val="Strong"/>
          <w:rFonts w:cstheme="minorHAnsi"/>
          <w:i/>
          <w:iCs/>
          <w:color w:val="FF0000"/>
          <w:sz w:val="18"/>
          <w:szCs w:val="18"/>
        </w:rPr>
        <w:t xml:space="preserve"> Availability Groups, if the Secondaries are using “Read Intent”, “Read-Only” or “Backup Server”, then they need to be fully licensed.</w:t>
      </w:r>
      <w:bookmarkStart w:id="0" w:name="_GoBack"/>
      <w:bookmarkEnd w:id="0"/>
    </w:p>
    <w:sectPr w:rsidR="000A6870" w:rsidRPr="000A3861" w:rsidSect="00B4510C">
      <w:pgSz w:w="11906" w:h="16838"/>
      <w:pgMar w:top="765" w:right="680" w:bottom="765" w:left="680" w:header="709" w:footer="709" w:gutter="0"/>
      <w:pgBorders w:offsetFrom="page">
        <w:top w:val="double" w:sz="4" w:space="24" w:color="C00000"/>
        <w:left w:val="double" w:sz="4" w:space="24" w:color="C00000"/>
        <w:bottom w:val="double" w:sz="4" w:space="24" w:color="C00000"/>
        <w:right w:val="double" w:sz="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36B7"/>
    <w:multiLevelType w:val="multilevel"/>
    <w:tmpl w:val="77E6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5B2363"/>
    <w:multiLevelType w:val="multilevel"/>
    <w:tmpl w:val="AAA04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249D2"/>
    <w:multiLevelType w:val="multilevel"/>
    <w:tmpl w:val="82A0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B35774"/>
    <w:multiLevelType w:val="multilevel"/>
    <w:tmpl w:val="77DEF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FF0F7E"/>
    <w:multiLevelType w:val="multilevel"/>
    <w:tmpl w:val="0DA6D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F44D2"/>
    <w:multiLevelType w:val="multilevel"/>
    <w:tmpl w:val="EFB2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6239F9"/>
    <w:multiLevelType w:val="multilevel"/>
    <w:tmpl w:val="6E146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32603"/>
    <w:multiLevelType w:val="multilevel"/>
    <w:tmpl w:val="0976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46DC0"/>
    <w:multiLevelType w:val="multilevel"/>
    <w:tmpl w:val="639AA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C00C2E"/>
    <w:multiLevelType w:val="multilevel"/>
    <w:tmpl w:val="C4EE5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364676"/>
    <w:multiLevelType w:val="multilevel"/>
    <w:tmpl w:val="B9687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892EBB"/>
    <w:multiLevelType w:val="hybridMultilevel"/>
    <w:tmpl w:val="D29A1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4CB0A33"/>
    <w:multiLevelType w:val="multilevel"/>
    <w:tmpl w:val="CDD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50692A"/>
    <w:multiLevelType w:val="multilevel"/>
    <w:tmpl w:val="82F0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CD03AF"/>
    <w:multiLevelType w:val="multilevel"/>
    <w:tmpl w:val="0AC6C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AC0736"/>
    <w:multiLevelType w:val="multilevel"/>
    <w:tmpl w:val="B998A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B5031"/>
    <w:multiLevelType w:val="multilevel"/>
    <w:tmpl w:val="518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61099D"/>
    <w:multiLevelType w:val="multilevel"/>
    <w:tmpl w:val="0AEC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964DE"/>
    <w:multiLevelType w:val="multilevel"/>
    <w:tmpl w:val="BCCE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A601F5"/>
    <w:multiLevelType w:val="multilevel"/>
    <w:tmpl w:val="95E84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67128C"/>
    <w:multiLevelType w:val="hybridMultilevel"/>
    <w:tmpl w:val="6A62CA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E030ABB"/>
    <w:multiLevelType w:val="multilevel"/>
    <w:tmpl w:val="A504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C6FAB"/>
    <w:multiLevelType w:val="multilevel"/>
    <w:tmpl w:val="90548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495C87"/>
    <w:multiLevelType w:val="multilevel"/>
    <w:tmpl w:val="D44AB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8319B2"/>
    <w:multiLevelType w:val="multilevel"/>
    <w:tmpl w:val="E23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BE02A5"/>
    <w:multiLevelType w:val="multilevel"/>
    <w:tmpl w:val="5168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D85A3F"/>
    <w:multiLevelType w:val="multilevel"/>
    <w:tmpl w:val="E77AC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55D6BB6"/>
    <w:multiLevelType w:val="multilevel"/>
    <w:tmpl w:val="FFCE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7047DB"/>
    <w:multiLevelType w:val="hybridMultilevel"/>
    <w:tmpl w:val="BF5E2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AD5FD0"/>
    <w:multiLevelType w:val="multilevel"/>
    <w:tmpl w:val="EE34F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EEB0FDB"/>
    <w:multiLevelType w:val="multilevel"/>
    <w:tmpl w:val="E11A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CD4811"/>
    <w:multiLevelType w:val="multilevel"/>
    <w:tmpl w:val="D9B8E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E27AF3"/>
    <w:multiLevelType w:val="multilevel"/>
    <w:tmpl w:val="1B3C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79F6A22"/>
    <w:multiLevelType w:val="multilevel"/>
    <w:tmpl w:val="DDDA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697A05"/>
    <w:multiLevelType w:val="multilevel"/>
    <w:tmpl w:val="CBF06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35136B"/>
    <w:multiLevelType w:val="multilevel"/>
    <w:tmpl w:val="4E5C7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0F3705"/>
    <w:multiLevelType w:val="multilevel"/>
    <w:tmpl w:val="0B760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692497"/>
    <w:multiLevelType w:val="multilevel"/>
    <w:tmpl w:val="D31A1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6768F7"/>
    <w:multiLevelType w:val="multilevel"/>
    <w:tmpl w:val="16228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6"/>
  </w:num>
  <w:num w:numId="3">
    <w:abstractNumId w:val="25"/>
  </w:num>
  <w:num w:numId="4">
    <w:abstractNumId w:val="11"/>
  </w:num>
  <w:num w:numId="5">
    <w:abstractNumId w:val="35"/>
  </w:num>
  <w:num w:numId="6">
    <w:abstractNumId w:val="27"/>
  </w:num>
  <w:num w:numId="7">
    <w:abstractNumId w:val="31"/>
  </w:num>
  <w:num w:numId="8">
    <w:abstractNumId w:val="3"/>
  </w:num>
  <w:num w:numId="9">
    <w:abstractNumId w:val="20"/>
  </w:num>
  <w:num w:numId="10">
    <w:abstractNumId w:val="24"/>
  </w:num>
  <w:num w:numId="11">
    <w:abstractNumId w:val="30"/>
  </w:num>
  <w:num w:numId="12">
    <w:abstractNumId w:val="26"/>
  </w:num>
  <w:num w:numId="13">
    <w:abstractNumId w:val="28"/>
  </w:num>
  <w:num w:numId="14">
    <w:abstractNumId w:val="8"/>
  </w:num>
  <w:num w:numId="15">
    <w:abstractNumId w:val="0"/>
  </w:num>
  <w:num w:numId="16">
    <w:abstractNumId w:val="37"/>
  </w:num>
  <w:num w:numId="17">
    <w:abstractNumId w:val="2"/>
  </w:num>
  <w:num w:numId="18">
    <w:abstractNumId w:val="10"/>
  </w:num>
  <w:num w:numId="19">
    <w:abstractNumId w:val="23"/>
  </w:num>
  <w:num w:numId="20">
    <w:abstractNumId w:val="12"/>
  </w:num>
  <w:num w:numId="21">
    <w:abstractNumId w:val="9"/>
  </w:num>
  <w:num w:numId="22">
    <w:abstractNumId w:val="32"/>
  </w:num>
  <w:num w:numId="23">
    <w:abstractNumId w:val="13"/>
  </w:num>
  <w:num w:numId="24">
    <w:abstractNumId w:val="33"/>
  </w:num>
  <w:num w:numId="25">
    <w:abstractNumId w:val="21"/>
  </w:num>
  <w:num w:numId="26">
    <w:abstractNumId w:val="38"/>
  </w:num>
  <w:num w:numId="27">
    <w:abstractNumId w:val="7"/>
  </w:num>
  <w:num w:numId="28">
    <w:abstractNumId w:val="18"/>
  </w:num>
  <w:num w:numId="29">
    <w:abstractNumId w:val="16"/>
  </w:num>
  <w:num w:numId="30">
    <w:abstractNumId w:val="34"/>
  </w:num>
  <w:num w:numId="31">
    <w:abstractNumId w:val="5"/>
  </w:num>
  <w:num w:numId="32">
    <w:abstractNumId w:val="22"/>
  </w:num>
  <w:num w:numId="33">
    <w:abstractNumId w:val="1"/>
  </w:num>
  <w:num w:numId="34">
    <w:abstractNumId w:val="17"/>
  </w:num>
  <w:num w:numId="35">
    <w:abstractNumId w:val="4"/>
  </w:num>
  <w:num w:numId="36">
    <w:abstractNumId w:val="14"/>
  </w:num>
  <w:num w:numId="37">
    <w:abstractNumId w:val="29"/>
  </w:num>
  <w:num w:numId="38">
    <w:abstractNumId w:val="36"/>
  </w:num>
  <w:num w:numId="39">
    <w:abstractNumId w:val="19"/>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7F5"/>
    <w:rsid w:val="00016F64"/>
    <w:rsid w:val="00021854"/>
    <w:rsid w:val="000502FD"/>
    <w:rsid w:val="000751F3"/>
    <w:rsid w:val="00075B76"/>
    <w:rsid w:val="000A2EFE"/>
    <w:rsid w:val="000A3861"/>
    <w:rsid w:val="000A6870"/>
    <w:rsid w:val="000B6378"/>
    <w:rsid w:val="000E1DAE"/>
    <w:rsid w:val="000F7A8B"/>
    <w:rsid w:val="001037E5"/>
    <w:rsid w:val="001308A3"/>
    <w:rsid w:val="00135F50"/>
    <w:rsid w:val="0014156D"/>
    <w:rsid w:val="00142101"/>
    <w:rsid w:val="0018264F"/>
    <w:rsid w:val="001C1833"/>
    <w:rsid w:val="001D72E5"/>
    <w:rsid w:val="001E0512"/>
    <w:rsid w:val="00235162"/>
    <w:rsid w:val="00235700"/>
    <w:rsid w:val="00275311"/>
    <w:rsid w:val="002830E7"/>
    <w:rsid w:val="002A360D"/>
    <w:rsid w:val="002D02B1"/>
    <w:rsid w:val="0031307F"/>
    <w:rsid w:val="00341D52"/>
    <w:rsid w:val="003438A3"/>
    <w:rsid w:val="003C4B95"/>
    <w:rsid w:val="003D4BE1"/>
    <w:rsid w:val="00422236"/>
    <w:rsid w:val="00434DAE"/>
    <w:rsid w:val="004538B3"/>
    <w:rsid w:val="00454BD9"/>
    <w:rsid w:val="00462D0A"/>
    <w:rsid w:val="004840E0"/>
    <w:rsid w:val="004860D7"/>
    <w:rsid w:val="004A4150"/>
    <w:rsid w:val="004C1D1B"/>
    <w:rsid w:val="004D2A12"/>
    <w:rsid w:val="004E7E95"/>
    <w:rsid w:val="004F1B1C"/>
    <w:rsid w:val="005054D8"/>
    <w:rsid w:val="00510365"/>
    <w:rsid w:val="005141B4"/>
    <w:rsid w:val="00520C1A"/>
    <w:rsid w:val="005300C0"/>
    <w:rsid w:val="00540A5C"/>
    <w:rsid w:val="00547B3E"/>
    <w:rsid w:val="00550552"/>
    <w:rsid w:val="00556D9E"/>
    <w:rsid w:val="00563E0F"/>
    <w:rsid w:val="005A54CB"/>
    <w:rsid w:val="005C550C"/>
    <w:rsid w:val="005D6B04"/>
    <w:rsid w:val="0062685C"/>
    <w:rsid w:val="00642F2A"/>
    <w:rsid w:val="00665844"/>
    <w:rsid w:val="00671314"/>
    <w:rsid w:val="00671612"/>
    <w:rsid w:val="00677F47"/>
    <w:rsid w:val="00694D05"/>
    <w:rsid w:val="006964B7"/>
    <w:rsid w:val="006C10A8"/>
    <w:rsid w:val="006F3F0D"/>
    <w:rsid w:val="00705125"/>
    <w:rsid w:val="00717CA8"/>
    <w:rsid w:val="00742284"/>
    <w:rsid w:val="00745794"/>
    <w:rsid w:val="00752CE4"/>
    <w:rsid w:val="007A21BE"/>
    <w:rsid w:val="007A5768"/>
    <w:rsid w:val="007D20F2"/>
    <w:rsid w:val="007F4271"/>
    <w:rsid w:val="00833358"/>
    <w:rsid w:val="00853EA4"/>
    <w:rsid w:val="00880473"/>
    <w:rsid w:val="008949FA"/>
    <w:rsid w:val="008A157F"/>
    <w:rsid w:val="008A74A2"/>
    <w:rsid w:val="008B5EEA"/>
    <w:rsid w:val="009100E2"/>
    <w:rsid w:val="00911705"/>
    <w:rsid w:val="009131F0"/>
    <w:rsid w:val="009250CD"/>
    <w:rsid w:val="00934882"/>
    <w:rsid w:val="00951452"/>
    <w:rsid w:val="009563FC"/>
    <w:rsid w:val="009C1451"/>
    <w:rsid w:val="009C5098"/>
    <w:rsid w:val="009D46A3"/>
    <w:rsid w:val="00A015CF"/>
    <w:rsid w:val="00A316C3"/>
    <w:rsid w:val="00A536AC"/>
    <w:rsid w:val="00A653AC"/>
    <w:rsid w:val="00A92B7E"/>
    <w:rsid w:val="00AC0EB9"/>
    <w:rsid w:val="00AC52D9"/>
    <w:rsid w:val="00AE1FB7"/>
    <w:rsid w:val="00B269DF"/>
    <w:rsid w:val="00B26E3E"/>
    <w:rsid w:val="00B415E6"/>
    <w:rsid w:val="00B4510C"/>
    <w:rsid w:val="00B830D1"/>
    <w:rsid w:val="00BA6589"/>
    <w:rsid w:val="00BC63CB"/>
    <w:rsid w:val="00BD3F69"/>
    <w:rsid w:val="00BD7F92"/>
    <w:rsid w:val="00BF01EA"/>
    <w:rsid w:val="00C25CE1"/>
    <w:rsid w:val="00C73E7D"/>
    <w:rsid w:val="00CD0528"/>
    <w:rsid w:val="00CD264E"/>
    <w:rsid w:val="00D26D15"/>
    <w:rsid w:val="00D75F33"/>
    <w:rsid w:val="00D76AEB"/>
    <w:rsid w:val="00DB400C"/>
    <w:rsid w:val="00DD020F"/>
    <w:rsid w:val="00DD06C4"/>
    <w:rsid w:val="00DD3C38"/>
    <w:rsid w:val="00DE5F0C"/>
    <w:rsid w:val="00DF0C10"/>
    <w:rsid w:val="00DF3BDD"/>
    <w:rsid w:val="00DF5786"/>
    <w:rsid w:val="00E1398A"/>
    <w:rsid w:val="00E263F5"/>
    <w:rsid w:val="00E343F1"/>
    <w:rsid w:val="00E3749B"/>
    <w:rsid w:val="00E5038D"/>
    <w:rsid w:val="00E96859"/>
    <w:rsid w:val="00EA1432"/>
    <w:rsid w:val="00EA1A5F"/>
    <w:rsid w:val="00EA3A98"/>
    <w:rsid w:val="00EA7773"/>
    <w:rsid w:val="00EE3688"/>
    <w:rsid w:val="00F217F5"/>
    <w:rsid w:val="00F47C25"/>
    <w:rsid w:val="00F54833"/>
    <w:rsid w:val="00F862A8"/>
    <w:rsid w:val="00FA45D3"/>
    <w:rsid w:val="00FA7A18"/>
    <w:rsid w:val="00FB5247"/>
    <w:rsid w:val="00FC7D8B"/>
    <w:rsid w:val="00FE03A6"/>
    <w:rsid w:val="00FE63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29EE4"/>
  <w15:chartTrackingRefBased/>
  <w15:docId w15:val="{B22D1C27-52DA-4050-9DC6-90A23820F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0751F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751F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A41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A3A9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3A9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217F5"/>
    <w:rPr>
      <w:b/>
      <w:bCs/>
    </w:rPr>
  </w:style>
  <w:style w:type="character" w:styleId="Hyperlink">
    <w:name w:val="Hyperlink"/>
    <w:basedOn w:val="DefaultParagraphFont"/>
    <w:uiPriority w:val="99"/>
    <w:semiHidden/>
    <w:unhideWhenUsed/>
    <w:rsid w:val="00A653AC"/>
    <w:rPr>
      <w:color w:val="0000FF"/>
      <w:u w:val="single"/>
    </w:rPr>
  </w:style>
  <w:style w:type="paragraph" w:styleId="ListParagraph">
    <w:name w:val="List Paragraph"/>
    <w:basedOn w:val="Normal"/>
    <w:uiPriority w:val="34"/>
    <w:qFormat/>
    <w:rsid w:val="004E7E95"/>
    <w:pPr>
      <w:ind w:left="720"/>
      <w:contextualSpacing/>
    </w:pPr>
  </w:style>
  <w:style w:type="character" w:customStyle="1" w:styleId="Heading1Char">
    <w:name w:val="Heading 1 Char"/>
    <w:basedOn w:val="DefaultParagraphFont"/>
    <w:link w:val="Heading1"/>
    <w:uiPriority w:val="9"/>
    <w:rsid w:val="000751F3"/>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751F3"/>
    <w:rPr>
      <w:rFonts w:ascii="Times New Roman" w:eastAsia="Times New Roman" w:hAnsi="Times New Roman" w:cs="Times New Roman"/>
      <w:b/>
      <w:bCs/>
      <w:sz w:val="36"/>
      <w:szCs w:val="36"/>
      <w:lang w:eastAsia="en-IN"/>
    </w:rPr>
  </w:style>
  <w:style w:type="character" w:customStyle="1" w:styleId="ez-toc-section">
    <w:name w:val="ez-toc-section"/>
    <w:basedOn w:val="DefaultParagraphFont"/>
    <w:rsid w:val="000751F3"/>
  </w:style>
  <w:style w:type="paragraph" w:styleId="NormalWeb">
    <w:name w:val="Normal (Web)"/>
    <w:basedOn w:val="Normal"/>
    <w:uiPriority w:val="99"/>
    <w:unhideWhenUsed/>
    <w:rsid w:val="000751F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0751F3"/>
    <w:rPr>
      <w:i/>
      <w:iCs/>
    </w:rPr>
  </w:style>
  <w:style w:type="character" w:customStyle="1" w:styleId="Heading5Char">
    <w:name w:val="Heading 5 Char"/>
    <w:basedOn w:val="DefaultParagraphFont"/>
    <w:link w:val="Heading5"/>
    <w:uiPriority w:val="9"/>
    <w:semiHidden/>
    <w:rsid w:val="00EA3A9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EA3A98"/>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A4150"/>
    <w:rPr>
      <w:rFonts w:asciiTheme="majorHAnsi" w:eastAsiaTheme="majorEastAsia" w:hAnsiTheme="majorHAnsi" w:cstheme="majorBidi"/>
      <w:color w:val="1F3763" w:themeColor="accent1" w:themeShade="7F"/>
      <w:sz w:val="24"/>
      <w:szCs w:val="24"/>
    </w:rPr>
  </w:style>
  <w:style w:type="paragraph" w:customStyle="1" w:styleId="Title1">
    <w:name w:val="Title1"/>
    <w:basedOn w:val="Normal"/>
    <w:rsid w:val="004A41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ext-base">
    <w:name w:val="text-base"/>
    <w:basedOn w:val="DefaultParagraphFont"/>
    <w:rsid w:val="00642F2A"/>
  </w:style>
  <w:style w:type="paragraph" w:customStyle="1" w:styleId="wp-caption-text">
    <w:name w:val="wp-caption-text"/>
    <w:basedOn w:val="Normal"/>
    <w:rsid w:val="000A6870"/>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5946">
      <w:bodyDiv w:val="1"/>
      <w:marLeft w:val="0"/>
      <w:marRight w:val="0"/>
      <w:marTop w:val="0"/>
      <w:marBottom w:val="0"/>
      <w:divBdr>
        <w:top w:val="none" w:sz="0" w:space="0" w:color="auto"/>
        <w:left w:val="none" w:sz="0" w:space="0" w:color="auto"/>
        <w:bottom w:val="none" w:sz="0" w:space="0" w:color="auto"/>
        <w:right w:val="none" w:sz="0" w:space="0" w:color="auto"/>
      </w:divBdr>
    </w:div>
    <w:div w:id="18433726">
      <w:bodyDiv w:val="1"/>
      <w:marLeft w:val="0"/>
      <w:marRight w:val="0"/>
      <w:marTop w:val="0"/>
      <w:marBottom w:val="0"/>
      <w:divBdr>
        <w:top w:val="none" w:sz="0" w:space="0" w:color="auto"/>
        <w:left w:val="none" w:sz="0" w:space="0" w:color="auto"/>
        <w:bottom w:val="none" w:sz="0" w:space="0" w:color="auto"/>
        <w:right w:val="none" w:sz="0" w:space="0" w:color="auto"/>
      </w:divBdr>
    </w:div>
    <w:div w:id="25328485">
      <w:bodyDiv w:val="1"/>
      <w:marLeft w:val="0"/>
      <w:marRight w:val="0"/>
      <w:marTop w:val="0"/>
      <w:marBottom w:val="0"/>
      <w:divBdr>
        <w:top w:val="none" w:sz="0" w:space="0" w:color="auto"/>
        <w:left w:val="none" w:sz="0" w:space="0" w:color="auto"/>
        <w:bottom w:val="none" w:sz="0" w:space="0" w:color="auto"/>
        <w:right w:val="none" w:sz="0" w:space="0" w:color="auto"/>
      </w:divBdr>
    </w:div>
    <w:div w:id="63529242">
      <w:bodyDiv w:val="1"/>
      <w:marLeft w:val="0"/>
      <w:marRight w:val="0"/>
      <w:marTop w:val="0"/>
      <w:marBottom w:val="0"/>
      <w:divBdr>
        <w:top w:val="none" w:sz="0" w:space="0" w:color="auto"/>
        <w:left w:val="none" w:sz="0" w:space="0" w:color="auto"/>
        <w:bottom w:val="none" w:sz="0" w:space="0" w:color="auto"/>
        <w:right w:val="none" w:sz="0" w:space="0" w:color="auto"/>
      </w:divBdr>
      <w:divsChild>
        <w:div w:id="805196357">
          <w:blockQuote w:val="1"/>
          <w:marLeft w:val="0"/>
          <w:marRight w:val="0"/>
          <w:marTop w:val="0"/>
          <w:marBottom w:val="300"/>
          <w:divBdr>
            <w:top w:val="none" w:sz="0" w:space="0" w:color="auto"/>
            <w:left w:val="single" w:sz="18" w:space="15" w:color="000000"/>
            <w:bottom w:val="none" w:sz="0" w:space="0" w:color="auto"/>
            <w:right w:val="none" w:sz="0" w:space="0" w:color="auto"/>
          </w:divBdr>
        </w:div>
        <w:div w:id="1322077836">
          <w:marLeft w:val="0"/>
          <w:marRight w:val="0"/>
          <w:marTop w:val="100"/>
          <w:marBottom w:val="100"/>
          <w:divBdr>
            <w:top w:val="none" w:sz="0" w:space="0" w:color="auto"/>
            <w:left w:val="none" w:sz="0" w:space="0" w:color="auto"/>
            <w:bottom w:val="none" w:sz="0" w:space="0" w:color="auto"/>
            <w:right w:val="none" w:sz="0" w:space="0" w:color="auto"/>
          </w:divBdr>
        </w:div>
        <w:div w:id="1656951046">
          <w:marLeft w:val="0"/>
          <w:marRight w:val="0"/>
          <w:marTop w:val="100"/>
          <w:marBottom w:val="100"/>
          <w:divBdr>
            <w:top w:val="none" w:sz="0" w:space="0" w:color="auto"/>
            <w:left w:val="none" w:sz="0" w:space="0" w:color="auto"/>
            <w:bottom w:val="none" w:sz="0" w:space="0" w:color="auto"/>
            <w:right w:val="none" w:sz="0" w:space="0" w:color="auto"/>
          </w:divBdr>
        </w:div>
        <w:div w:id="902108929">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151258450">
      <w:bodyDiv w:val="1"/>
      <w:marLeft w:val="0"/>
      <w:marRight w:val="0"/>
      <w:marTop w:val="0"/>
      <w:marBottom w:val="0"/>
      <w:divBdr>
        <w:top w:val="none" w:sz="0" w:space="0" w:color="auto"/>
        <w:left w:val="none" w:sz="0" w:space="0" w:color="auto"/>
        <w:bottom w:val="none" w:sz="0" w:space="0" w:color="auto"/>
        <w:right w:val="none" w:sz="0" w:space="0" w:color="auto"/>
      </w:divBdr>
    </w:div>
    <w:div w:id="155071263">
      <w:bodyDiv w:val="1"/>
      <w:marLeft w:val="0"/>
      <w:marRight w:val="0"/>
      <w:marTop w:val="0"/>
      <w:marBottom w:val="0"/>
      <w:divBdr>
        <w:top w:val="none" w:sz="0" w:space="0" w:color="auto"/>
        <w:left w:val="none" w:sz="0" w:space="0" w:color="auto"/>
        <w:bottom w:val="none" w:sz="0" w:space="0" w:color="auto"/>
        <w:right w:val="none" w:sz="0" w:space="0" w:color="auto"/>
      </w:divBdr>
      <w:divsChild>
        <w:div w:id="1561556820">
          <w:blockQuote w:val="1"/>
          <w:marLeft w:val="0"/>
          <w:marRight w:val="0"/>
          <w:marTop w:val="0"/>
          <w:marBottom w:val="300"/>
          <w:divBdr>
            <w:top w:val="none" w:sz="0" w:space="0" w:color="auto"/>
            <w:left w:val="single" w:sz="18" w:space="15" w:color="000000"/>
            <w:bottom w:val="none" w:sz="0" w:space="0" w:color="auto"/>
            <w:right w:val="none" w:sz="0" w:space="0" w:color="auto"/>
          </w:divBdr>
        </w:div>
        <w:div w:id="71391256">
          <w:marLeft w:val="0"/>
          <w:marRight w:val="0"/>
          <w:marTop w:val="100"/>
          <w:marBottom w:val="100"/>
          <w:divBdr>
            <w:top w:val="none" w:sz="0" w:space="0" w:color="auto"/>
            <w:left w:val="none" w:sz="0" w:space="0" w:color="auto"/>
            <w:bottom w:val="none" w:sz="0" w:space="0" w:color="auto"/>
            <w:right w:val="none" w:sz="0" w:space="0" w:color="auto"/>
          </w:divBdr>
        </w:div>
        <w:div w:id="510919271">
          <w:blockQuote w:val="1"/>
          <w:marLeft w:val="0"/>
          <w:marRight w:val="0"/>
          <w:marTop w:val="0"/>
          <w:marBottom w:val="300"/>
          <w:divBdr>
            <w:top w:val="none" w:sz="0" w:space="0" w:color="auto"/>
            <w:left w:val="single" w:sz="18" w:space="15" w:color="000000"/>
            <w:bottom w:val="none" w:sz="0" w:space="0" w:color="auto"/>
            <w:right w:val="none" w:sz="0" w:space="0" w:color="auto"/>
          </w:divBdr>
        </w:div>
        <w:div w:id="887759531">
          <w:marLeft w:val="0"/>
          <w:marRight w:val="0"/>
          <w:marTop w:val="100"/>
          <w:marBottom w:val="100"/>
          <w:divBdr>
            <w:top w:val="none" w:sz="0" w:space="0" w:color="auto"/>
            <w:left w:val="none" w:sz="0" w:space="0" w:color="auto"/>
            <w:bottom w:val="none" w:sz="0" w:space="0" w:color="auto"/>
            <w:right w:val="none" w:sz="0" w:space="0" w:color="auto"/>
          </w:divBdr>
        </w:div>
      </w:divsChild>
    </w:div>
    <w:div w:id="156724711">
      <w:bodyDiv w:val="1"/>
      <w:marLeft w:val="0"/>
      <w:marRight w:val="0"/>
      <w:marTop w:val="0"/>
      <w:marBottom w:val="0"/>
      <w:divBdr>
        <w:top w:val="none" w:sz="0" w:space="0" w:color="auto"/>
        <w:left w:val="none" w:sz="0" w:space="0" w:color="auto"/>
        <w:bottom w:val="none" w:sz="0" w:space="0" w:color="auto"/>
        <w:right w:val="none" w:sz="0" w:space="0" w:color="auto"/>
      </w:divBdr>
    </w:div>
    <w:div w:id="173111134">
      <w:bodyDiv w:val="1"/>
      <w:marLeft w:val="0"/>
      <w:marRight w:val="0"/>
      <w:marTop w:val="0"/>
      <w:marBottom w:val="0"/>
      <w:divBdr>
        <w:top w:val="none" w:sz="0" w:space="0" w:color="auto"/>
        <w:left w:val="none" w:sz="0" w:space="0" w:color="auto"/>
        <w:bottom w:val="none" w:sz="0" w:space="0" w:color="auto"/>
        <w:right w:val="none" w:sz="0" w:space="0" w:color="auto"/>
      </w:divBdr>
      <w:divsChild>
        <w:div w:id="46809039">
          <w:marLeft w:val="0"/>
          <w:marRight w:val="0"/>
          <w:marTop w:val="0"/>
          <w:marBottom w:val="300"/>
          <w:divBdr>
            <w:top w:val="none" w:sz="0" w:space="0" w:color="auto"/>
            <w:left w:val="none" w:sz="0" w:space="0" w:color="auto"/>
            <w:bottom w:val="none" w:sz="0" w:space="0" w:color="auto"/>
            <w:right w:val="none" w:sz="0" w:space="0" w:color="auto"/>
          </w:divBdr>
        </w:div>
      </w:divsChild>
    </w:div>
    <w:div w:id="174459966">
      <w:bodyDiv w:val="1"/>
      <w:marLeft w:val="0"/>
      <w:marRight w:val="0"/>
      <w:marTop w:val="0"/>
      <w:marBottom w:val="0"/>
      <w:divBdr>
        <w:top w:val="none" w:sz="0" w:space="0" w:color="auto"/>
        <w:left w:val="none" w:sz="0" w:space="0" w:color="auto"/>
        <w:bottom w:val="none" w:sz="0" w:space="0" w:color="auto"/>
        <w:right w:val="none" w:sz="0" w:space="0" w:color="auto"/>
      </w:divBdr>
      <w:divsChild>
        <w:div w:id="1150486597">
          <w:blockQuote w:val="1"/>
          <w:marLeft w:val="0"/>
          <w:marRight w:val="0"/>
          <w:marTop w:val="0"/>
          <w:marBottom w:val="300"/>
          <w:divBdr>
            <w:top w:val="none" w:sz="0" w:space="0" w:color="auto"/>
            <w:left w:val="single" w:sz="18" w:space="15" w:color="000000"/>
            <w:bottom w:val="none" w:sz="0" w:space="0" w:color="auto"/>
            <w:right w:val="none" w:sz="0" w:space="0" w:color="auto"/>
          </w:divBdr>
        </w:div>
        <w:div w:id="1161769565">
          <w:blockQuote w:val="1"/>
          <w:marLeft w:val="0"/>
          <w:marRight w:val="0"/>
          <w:marTop w:val="0"/>
          <w:marBottom w:val="300"/>
          <w:divBdr>
            <w:top w:val="none" w:sz="0" w:space="0" w:color="auto"/>
            <w:left w:val="single" w:sz="18" w:space="15" w:color="000000"/>
            <w:bottom w:val="none" w:sz="0" w:space="0" w:color="auto"/>
            <w:right w:val="none" w:sz="0" w:space="0" w:color="auto"/>
          </w:divBdr>
        </w:div>
        <w:div w:id="1138573163">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201795447">
      <w:bodyDiv w:val="1"/>
      <w:marLeft w:val="0"/>
      <w:marRight w:val="0"/>
      <w:marTop w:val="0"/>
      <w:marBottom w:val="0"/>
      <w:divBdr>
        <w:top w:val="none" w:sz="0" w:space="0" w:color="auto"/>
        <w:left w:val="none" w:sz="0" w:space="0" w:color="auto"/>
        <w:bottom w:val="none" w:sz="0" w:space="0" w:color="auto"/>
        <w:right w:val="none" w:sz="0" w:space="0" w:color="auto"/>
      </w:divBdr>
    </w:div>
    <w:div w:id="268317115">
      <w:bodyDiv w:val="1"/>
      <w:marLeft w:val="0"/>
      <w:marRight w:val="0"/>
      <w:marTop w:val="0"/>
      <w:marBottom w:val="0"/>
      <w:divBdr>
        <w:top w:val="none" w:sz="0" w:space="0" w:color="auto"/>
        <w:left w:val="none" w:sz="0" w:space="0" w:color="auto"/>
        <w:bottom w:val="none" w:sz="0" w:space="0" w:color="auto"/>
        <w:right w:val="none" w:sz="0" w:space="0" w:color="auto"/>
      </w:divBdr>
    </w:div>
    <w:div w:id="288097041">
      <w:bodyDiv w:val="1"/>
      <w:marLeft w:val="0"/>
      <w:marRight w:val="0"/>
      <w:marTop w:val="0"/>
      <w:marBottom w:val="0"/>
      <w:divBdr>
        <w:top w:val="none" w:sz="0" w:space="0" w:color="auto"/>
        <w:left w:val="none" w:sz="0" w:space="0" w:color="auto"/>
        <w:bottom w:val="none" w:sz="0" w:space="0" w:color="auto"/>
        <w:right w:val="none" w:sz="0" w:space="0" w:color="auto"/>
      </w:divBdr>
    </w:div>
    <w:div w:id="290483615">
      <w:bodyDiv w:val="1"/>
      <w:marLeft w:val="0"/>
      <w:marRight w:val="0"/>
      <w:marTop w:val="0"/>
      <w:marBottom w:val="0"/>
      <w:divBdr>
        <w:top w:val="none" w:sz="0" w:space="0" w:color="auto"/>
        <w:left w:val="none" w:sz="0" w:space="0" w:color="auto"/>
        <w:bottom w:val="none" w:sz="0" w:space="0" w:color="auto"/>
        <w:right w:val="none" w:sz="0" w:space="0" w:color="auto"/>
      </w:divBdr>
    </w:div>
    <w:div w:id="408618366">
      <w:bodyDiv w:val="1"/>
      <w:marLeft w:val="0"/>
      <w:marRight w:val="0"/>
      <w:marTop w:val="0"/>
      <w:marBottom w:val="0"/>
      <w:divBdr>
        <w:top w:val="none" w:sz="0" w:space="0" w:color="auto"/>
        <w:left w:val="none" w:sz="0" w:space="0" w:color="auto"/>
        <w:bottom w:val="none" w:sz="0" w:space="0" w:color="auto"/>
        <w:right w:val="none" w:sz="0" w:space="0" w:color="auto"/>
      </w:divBdr>
    </w:div>
    <w:div w:id="422651411">
      <w:bodyDiv w:val="1"/>
      <w:marLeft w:val="0"/>
      <w:marRight w:val="0"/>
      <w:marTop w:val="0"/>
      <w:marBottom w:val="0"/>
      <w:divBdr>
        <w:top w:val="none" w:sz="0" w:space="0" w:color="auto"/>
        <w:left w:val="none" w:sz="0" w:space="0" w:color="auto"/>
        <w:bottom w:val="none" w:sz="0" w:space="0" w:color="auto"/>
        <w:right w:val="none" w:sz="0" w:space="0" w:color="auto"/>
      </w:divBdr>
    </w:div>
    <w:div w:id="453450699">
      <w:bodyDiv w:val="1"/>
      <w:marLeft w:val="0"/>
      <w:marRight w:val="0"/>
      <w:marTop w:val="0"/>
      <w:marBottom w:val="0"/>
      <w:divBdr>
        <w:top w:val="none" w:sz="0" w:space="0" w:color="auto"/>
        <w:left w:val="none" w:sz="0" w:space="0" w:color="auto"/>
        <w:bottom w:val="none" w:sz="0" w:space="0" w:color="auto"/>
        <w:right w:val="none" w:sz="0" w:space="0" w:color="auto"/>
      </w:divBdr>
    </w:div>
    <w:div w:id="618529261">
      <w:bodyDiv w:val="1"/>
      <w:marLeft w:val="0"/>
      <w:marRight w:val="0"/>
      <w:marTop w:val="0"/>
      <w:marBottom w:val="0"/>
      <w:divBdr>
        <w:top w:val="none" w:sz="0" w:space="0" w:color="auto"/>
        <w:left w:val="none" w:sz="0" w:space="0" w:color="auto"/>
        <w:bottom w:val="none" w:sz="0" w:space="0" w:color="auto"/>
        <w:right w:val="none" w:sz="0" w:space="0" w:color="auto"/>
      </w:divBdr>
      <w:divsChild>
        <w:div w:id="1418333356">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636033879">
      <w:bodyDiv w:val="1"/>
      <w:marLeft w:val="0"/>
      <w:marRight w:val="0"/>
      <w:marTop w:val="0"/>
      <w:marBottom w:val="0"/>
      <w:divBdr>
        <w:top w:val="none" w:sz="0" w:space="0" w:color="auto"/>
        <w:left w:val="none" w:sz="0" w:space="0" w:color="auto"/>
        <w:bottom w:val="none" w:sz="0" w:space="0" w:color="auto"/>
        <w:right w:val="none" w:sz="0" w:space="0" w:color="auto"/>
      </w:divBdr>
      <w:divsChild>
        <w:div w:id="1214657327">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668214643">
      <w:bodyDiv w:val="1"/>
      <w:marLeft w:val="0"/>
      <w:marRight w:val="0"/>
      <w:marTop w:val="0"/>
      <w:marBottom w:val="0"/>
      <w:divBdr>
        <w:top w:val="none" w:sz="0" w:space="0" w:color="auto"/>
        <w:left w:val="none" w:sz="0" w:space="0" w:color="auto"/>
        <w:bottom w:val="none" w:sz="0" w:space="0" w:color="auto"/>
        <w:right w:val="none" w:sz="0" w:space="0" w:color="auto"/>
      </w:divBdr>
    </w:div>
    <w:div w:id="758065610">
      <w:bodyDiv w:val="1"/>
      <w:marLeft w:val="0"/>
      <w:marRight w:val="0"/>
      <w:marTop w:val="0"/>
      <w:marBottom w:val="0"/>
      <w:divBdr>
        <w:top w:val="none" w:sz="0" w:space="0" w:color="auto"/>
        <w:left w:val="none" w:sz="0" w:space="0" w:color="auto"/>
        <w:bottom w:val="none" w:sz="0" w:space="0" w:color="auto"/>
        <w:right w:val="none" w:sz="0" w:space="0" w:color="auto"/>
      </w:divBdr>
    </w:div>
    <w:div w:id="774255787">
      <w:bodyDiv w:val="1"/>
      <w:marLeft w:val="0"/>
      <w:marRight w:val="0"/>
      <w:marTop w:val="0"/>
      <w:marBottom w:val="0"/>
      <w:divBdr>
        <w:top w:val="none" w:sz="0" w:space="0" w:color="auto"/>
        <w:left w:val="none" w:sz="0" w:space="0" w:color="auto"/>
        <w:bottom w:val="none" w:sz="0" w:space="0" w:color="auto"/>
        <w:right w:val="none" w:sz="0" w:space="0" w:color="auto"/>
      </w:divBdr>
      <w:divsChild>
        <w:div w:id="1585913129">
          <w:marLeft w:val="0"/>
          <w:marRight w:val="0"/>
          <w:marTop w:val="0"/>
          <w:marBottom w:val="300"/>
          <w:divBdr>
            <w:top w:val="none" w:sz="0" w:space="0" w:color="auto"/>
            <w:left w:val="none" w:sz="0" w:space="0" w:color="auto"/>
            <w:bottom w:val="none" w:sz="0" w:space="0" w:color="auto"/>
            <w:right w:val="none" w:sz="0" w:space="0" w:color="auto"/>
          </w:divBdr>
        </w:div>
      </w:divsChild>
    </w:div>
    <w:div w:id="860238104">
      <w:bodyDiv w:val="1"/>
      <w:marLeft w:val="0"/>
      <w:marRight w:val="0"/>
      <w:marTop w:val="0"/>
      <w:marBottom w:val="0"/>
      <w:divBdr>
        <w:top w:val="none" w:sz="0" w:space="0" w:color="auto"/>
        <w:left w:val="none" w:sz="0" w:space="0" w:color="auto"/>
        <w:bottom w:val="none" w:sz="0" w:space="0" w:color="auto"/>
        <w:right w:val="none" w:sz="0" w:space="0" w:color="auto"/>
      </w:divBdr>
      <w:divsChild>
        <w:div w:id="1156216603">
          <w:blockQuote w:val="1"/>
          <w:marLeft w:val="0"/>
          <w:marRight w:val="0"/>
          <w:marTop w:val="0"/>
          <w:marBottom w:val="300"/>
          <w:divBdr>
            <w:top w:val="none" w:sz="0" w:space="0" w:color="auto"/>
            <w:left w:val="single" w:sz="18" w:space="15" w:color="000000"/>
            <w:bottom w:val="none" w:sz="0" w:space="0" w:color="auto"/>
            <w:right w:val="none" w:sz="0" w:space="0" w:color="auto"/>
          </w:divBdr>
        </w:div>
        <w:div w:id="1865634175">
          <w:blockQuote w:val="1"/>
          <w:marLeft w:val="0"/>
          <w:marRight w:val="0"/>
          <w:marTop w:val="0"/>
          <w:marBottom w:val="300"/>
          <w:divBdr>
            <w:top w:val="none" w:sz="0" w:space="0" w:color="auto"/>
            <w:left w:val="single" w:sz="18" w:space="15" w:color="000000"/>
            <w:bottom w:val="none" w:sz="0" w:space="0" w:color="auto"/>
            <w:right w:val="none" w:sz="0" w:space="0" w:color="auto"/>
          </w:divBdr>
        </w:div>
        <w:div w:id="357657103">
          <w:blockQuote w:val="1"/>
          <w:marLeft w:val="0"/>
          <w:marRight w:val="0"/>
          <w:marTop w:val="0"/>
          <w:marBottom w:val="300"/>
          <w:divBdr>
            <w:top w:val="none" w:sz="0" w:space="0" w:color="auto"/>
            <w:left w:val="single" w:sz="18" w:space="15" w:color="000000"/>
            <w:bottom w:val="none" w:sz="0" w:space="0" w:color="auto"/>
            <w:right w:val="none" w:sz="0" w:space="0" w:color="auto"/>
          </w:divBdr>
        </w:div>
        <w:div w:id="1490638939">
          <w:marLeft w:val="0"/>
          <w:marRight w:val="0"/>
          <w:marTop w:val="100"/>
          <w:marBottom w:val="100"/>
          <w:divBdr>
            <w:top w:val="none" w:sz="0" w:space="0" w:color="auto"/>
            <w:left w:val="none" w:sz="0" w:space="0" w:color="auto"/>
            <w:bottom w:val="none" w:sz="0" w:space="0" w:color="auto"/>
            <w:right w:val="none" w:sz="0" w:space="0" w:color="auto"/>
          </w:divBdr>
        </w:div>
        <w:div w:id="2084645861">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889268006">
      <w:bodyDiv w:val="1"/>
      <w:marLeft w:val="0"/>
      <w:marRight w:val="0"/>
      <w:marTop w:val="0"/>
      <w:marBottom w:val="0"/>
      <w:divBdr>
        <w:top w:val="none" w:sz="0" w:space="0" w:color="auto"/>
        <w:left w:val="none" w:sz="0" w:space="0" w:color="auto"/>
        <w:bottom w:val="none" w:sz="0" w:space="0" w:color="auto"/>
        <w:right w:val="none" w:sz="0" w:space="0" w:color="auto"/>
      </w:divBdr>
    </w:div>
    <w:div w:id="899630037">
      <w:bodyDiv w:val="1"/>
      <w:marLeft w:val="0"/>
      <w:marRight w:val="0"/>
      <w:marTop w:val="0"/>
      <w:marBottom w:val="0"/>
      <w:divBdr>
        <w:top w:val="none" w:sz="0" w:space="0" w:color="auto"/>
        <w:left w:val="none" w:sz="0" w:space="0" w:color="auto"/>
        <w:bottom w:val="none" w:sz="0" w:space="0" w:color="auto"/>
        <w:right w:val="none" w:sz="0" w:space="0" w:color="auto"/>
      </w:divBdr>
    </w:div>
    <w:div w:id="956107914">
      <w:bodyDiv w:val="1"/>
      <w:marLeft w:val="0"/>
      <w:marRight w:val="0"/>
      <w:marTop w:val="0"/>
      <w:marBottom w:val="0"/>
      <w:divBdr>
        <w:top w:val="none" w:sz="0" w:space="0" w:color="auto"/>
        <w:left w:val="none" w:sz="0" w:space="0" w:color="auto"/>
        <w:bottom w:val="none" w:sz="0" w:space="0" w:color="auto"/>
        <w:right w:val="none" w:sz="0" w:space="0" w:color="auto"/>
      </w:divBdr>
      <w:divsChild>
        <w:div w:id="1586451250">
          <w:marLeft w:val="0"/>
          <w:marRight w:val="0"/>
          <w:marTop w:val="0"/>
          <w:marBottom w:val="300"/>
          <w:divBdr>
            <w:top w:val="none" w:sz="0" w:space="0" w:color="auto"/>
            <w:left w:val="none" w:sz="0" w:space="0" w:color="auto"/>
            <w:bottom w:val="none" w:sz="0" w:space="0" w:color="auto"/>
            <w:right w:val="none" w:sz="0" w:space="0" w:color="auto"/>
          </w:divBdr>
        </w:div>
      </w:divsChild>
    </w:div>
    <w:div w:id="959413635">
      <w:bodyDiv w:val="1"/>
      <w:marLeft w:val="0"/>
      <w:marRight w:val="0"/>
      <w:marTop w:val="0"/>
      <w:marBottom w:val="0"/>
      <w:divBdr>
        <w:top w:val="none" w:sz="0" w:space="0" w:color="auto"/>
        <w:left w:val="none" w:sz="0" w:space="0" w:color="auto"/>
        <w:bottom w:val="none" w:sz="0" w:space="0" w:color="auto"/>
        <w:right w:val="none" w:sz="0" w:space="0" w:color="auto"/>
      </w:divBdr>
      <w:divsChild>
        <w:div w:id="717556550">
          <w:blockQuote w:val="1"/>
          <w:marLeft w:val="0"/>
          <w:marRight w:val="0"/>
          <w:marTop w:val="0"/>
          <w:marBottom w:val="300"/>
          <w:divBdr>
            <w:top w:val="none" w:sz="0" w:space="0" w:color="auto"/>
            <w:left w:val="single" w:sz="18" w:space="15" w:color="000000"/>
            <w:bottom w:val="none" w:sz="0" w:space="0" w:color="auto"/>
            <w:right w:val="none" w:sz="0" w:space="0" w:color="auto"/>
          </w:divBdr>
        </w:div>
        <w:div w:id="2079554091">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977689689">
      <w:bodyDiv w:val="1"/>
      <w:marLeft w:val="0"/>
      <w:marRight w:val="0"/>
      <w:marTop w:val="0"/>
      <w:marBottom w:val="0"/>
      <w:divBdr>
        <w:top w:val="none" w:sz="0" w:space="0" w:color="auto"/>
        <w:left w:val="none" w:sz="0" w:space="0" w:color="auto"/>
        <w:bottom w:val="none" w:sz="0" w:space="0" w:color="auto"/>
        <w:right w:val="none" w:sz="0" w:space="0" w:color="auto"/>
      </w:divBdr>
    </w:div>
    <w:div w:id="1013460745">
      <w:bodyDiv w:val="1"/>
      <w:marLeft w:val="0"/>
      <w:marRight w:val="0"/>
      <w:marTop w:val="0"/>
      <w:marBottom w:val="0"/>
      <w:divBdr>
        <w:top w:val="none" w:sz="0" w:space="0" w:color="auto"/>
        <w:left w:val="none" w:sz="0" w:space="0" w:color="auto"/>
        <w:bottom w:val="none" w:sz="0" w:space="0" w:color="auto"/>
        <w:right w:val="none" w:sz="0" w:space="0" w:color="auto"/>
      </w:divBdr>
    </w:div>
    <w:div w:id="1019627516">
      <w:bodyDiv w:val="1"/>
      <w:marLeft w:val="0"/>
      <w:marRight w:val="0"/>
      <w:marTop w:val="0"/>
      <w:marBottom w:val="0"/>
      <w:divBdr>
        <w:top w:val="none" w:sz="0" w:space="0" w:color="auto"/>
        <w:left w:val="none" w:sz="0" w:space="0" w:color="auto"/>
        <w:bottom w:val="none" w:sz="0" w:space="0" w:color="auto"/>
        <w:right w:val="none" w:sz="0" w:space="0" w:color="auto"/>
      </w:divBdr>
    </w:div>
    <w:div w:id="1063136504">
      <w:bodyDiv w:val="1"/>
      <w:marLeft w:val="0"/>
      <w:marRight w:val="0"/>
      <w:marTop w:val="0"/>
      <w:marBottom w:val="0"/>
      <w:divBdr>
        <w:top w:val="none" w:sz="0" w:space="0" w:color="auto"/>
        <w:left w:val="none" w:sz="0" w:space="0" w:color="auto"/>
        <w:bottom w:val="none" w:sz="0" w:space="0" w:color="auto"/>
        <w:right w:val="none" w:sz="0" w:space="0" w:color="auto"/>
      </w:divBdr>
    </w:div>
    <w:div w:id="1077359597">
      <w:bodyDiv w:val="1"/>
      <w:marLeft w:val="0"/>
      <w:marRight w:val="0"/>
      <w:marTop w:val="0"/>
      <w:marBottom w:val="0"/>
      <w:divBdr>
        <w:top w:val="none" w:sz="0" w:space="0" w:color="auto"/>
        <w:left w:val="none" w:sz="0" w:space="0" w:color="auto"/>
        <w:bottom w:val="none" w:sz="0" w:space="0" w:color="auto"/>
        <w:right w:val="none" w:sz="0" w:space="0" w:color="auto"/>
      </w:divBdr>
    </w:div>
    <w:div w:id="1079526067">
      <w:bodyDiv w:val="1"/>
      <w:marLeft w:val="0"/>
      <w:marRight w:val="0"/>
      <w:marTop w:val="0"/>
      <w:marBottom w:val="0"/>
      <w:divBdr>
        <w:top w:val="none" w:sz="0" w:space="0" w:color="auto"/>
        <w:left w:val="none" w:sz="0" w:space="0" w:color="auto"/>
        <w:bottom w:val="none" w:sz="0" w:space="0" w:color="auto"/>
        <w:right w:val="none" w:sz="0" w:space="0" w:color="auto"/>
      </w:divBdr>
    </w:div>
    <w:div w:id="1079984741">
      <w:bodyDiv w:val="1"/>
      <w:marLeft w:val="0"/>
      <w:marRight w:val="0"/>
      <w:marTop w:val="0"/>
      <w:marBottom w:val="0"/>
      <w:divBdr>
        <w:top w:val="none" w:sz="0" w:space="0" w:color="auto"/>
        <w:left w:val="none" w:sz="0" w:space="0" w:color="auto"/>
        <w:bottom w:val="none" w:sz="0" w:space="0" w:color="auto"/>
        <w:right w:val="none" w:sz="0" w:space="0" w:color="auto"/>
      </w:divBdr>
      <w:divsChild>
        <w:div w:id="943994715">
          <w:marLeft w:val="0"/>
          <w:marRight w:val="0"/>
          <w:marTop w:val="120"/>
          <w:marBottom w:val="120"/>
          <w:divBdr>
            <w:top w:val="none" w:sz="0" w:space="0" w:color="auto"/>
            <w:left w:val="none" w:sz="0" w:space="0" w:color="auto"/>
            <w:bottom w:val="none" w:sz="0" w:space="0" w:color="auto"/>
            <w:right w:val="none" w:sz="0" w:space="0" w:color="auto"/>
          </w:divBdr>
        </w:div>
      </w:divsChild>
    </w:div>
    <w:div w:id="1158764782">
      <w:bodyDiv w:val="1"/>
      <w:marLeft w:val="0"/>
      <w:marRight w:val="0"/>
      <w:marTop w:val="0"/>
      <w:marBottom w:val="0"/>
      <w:divBdr>
        <w:top w:val="none" w:sz="0" w:space="0" w:color="auto"/>
        <w:left w:val="none" w:sz="0" w:space="0" w:color="auto"/>
        <w:bottom w:val="none" w:sz="0" w:space="0" w:color="auto"/>
        <w:right w:val="none" w:sz="0" w:space="0" w:color="auto"/>
      </w:divBdr>
    </w:div>
    <w:div w:id="1199050339">
      <w:bodyDiv w:val="1"/>
      <w:marLeft w:val="0"/>
      <w:marRight w:val="0"/>
      <w:marTop w:val="0"/>
      <w:marBottom w:val="0"/>
      <w:divBdr>
        <w:top w:val="none" w:sz="0" w:space="0" w:color="auto"/>
        <w:left w:val="none" w:sz="0" w:space="0" w:color="auto"/>
        <w:bottom w:val="none" w:sz="0" w:space="0" w:color="auto"/>
        <w:right w:val="none" w:sz="0" w:space="0" w:color="auto"/>
      </w:divBdr>
      <w:divsChild>
        <w:div w:id="351343968">
          <w:blockQuote w:val="1"/>
          <w:marLeft w:val="0"/>
          <w:marRight w:val="0"/>
          <w:marTop w:val="0"/>
          <w:marBottom w:val="300"/>
          <w:divBdr>
            <w:top w:val="none" w:sz="0" w:space="0" w:color="auto"/>
            <w:left w:val="single" w:sz="18" w:space="15" w:color="000000"/>
            <w:bottom w:val="none" w:sz="0" w:space="0" w:color="auto"/>
            <w:right w:val="none" w:sz="0" w:space="0" w:color="auto"/>
          </w:divBdr>
        </w:div>
        <w:div w:id="1016080833">
          <w:blockQuote w:val="1"/>
          <w:marLeft w:val="0"/>
          <w:marRight w:val="0"/>
          <w:marTop w:val="0"/>
          <w:marBottom w:val="300"/>
          <w:divBdr>
            <w:top w:val="none" w:sz="0" w:space="0" w:color="auto"/>
            <w:left w:val="single" w:sz="18" w:space="15" w:color="000000"/>
            <w:bottom w:val="none" w:sz="0" w:space="0" w:color="auto"/>
            <w:right w:val="none" w:sz="0" w:space="0" w:color="auto"/>
          </w:divBdr>
        </w:div>
        <w:div w:id="775757659">
          <w:blockQuote w:val="1"/>
          <w:marLeft w:val="0"/>
          <w:marRight w:val="0"/>
          <w:marTop w:val="0"/>
          <w:marBottom w:val="300"/>
          <w:divBdr>
            <w:top w:val="none" w:sz="0" w:space="0" w:color="auto"/>
            <w:left w:val="single" w:sz="18" w:space="15" w:color="000000"/>
            <w:bottom w:val="none" w:sz="0" w:space="0" w:color="auto"/>
            <w:right w:val="none" w:sz="0" w:space="0" w:color="auto"/>
          </w:divBdr>
        </w:div>
        <w:div w:id="651715156">
          <w:marLeft w:val="0"/>
          <w:marRight w:val="0"/>
          <w:marTop w:val="120"/>
          <w:marBottom w:val="120"/>
          <w:divBdr>
            <w:top w:val="none" w:sz="0" w:space="0" w:color="auto"/>
            <w:left w:val="none" w:sz="0" w:space="0" w:color="auto"/>
            <w:bottom w:val="none" w:sz="0" w:space="0" w:color="auto"/>
            <w:right w:val="none" w:sz="0" w:space="0" w:color="auto"/>
          </w:divBdr>
        </w:div>
      </w:divsChild>
    </w:div>
    <w:div w:id="1224876677">
      <w:bodyDiv w:val="1"/>
      <w:marLeft w:val="0"/>
      <w:marRight w:val="0"/>
      <w:marTop w:val="0"/>
      <w:marBottom w:val="0"/>
      <w:divBdr>
        <w:top w:val="none" w:sz="0" w:space="0" w:color="auto"/>
        <w:left w:val="none" w:sz="0" w:space="0" w:color="auto"/>
        <w:bottom w:val="none" w:sz="0" w:space="0" w:color="auto"/>
        <w:right w:val="none" w:sz="0" w:space="0" w:color="auto"/>
      </w:divBdr>
    </w:div>
    <w:div w:id="1256934357">
      <w:bodyDiv w:val="1"/>
      <w:marLeft w:val="0"/>
      <w:marRight w:val="0"/>
      <w:marTop w:val="0"/>
      <w:marBottom w:val="0"/>
      <w:divBdr>
        <w:top w:val="none" w:sz="0" w:space="0" w:color="auto"/>
        <w:left w:val="none" w:sz="0" w:space="0" w:color="auto"/>
        <w:bottom w:val="none" w:sz="0" w:space="0" w:color="auto"/>
        <w:right w:val="none" w:sz="0" w:space="0" w:color="auto"/>
      </w:divBdr>
      <w:divsChild>
        <w:div w:id="373189755">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1280334419">
      <w:bodyDiv w:val="1"/>
      <w:marLeft w:val="0"/>
      <w:marRight w:val="0"/>
      <w:marTop w:val="0"/>
      <w:marBottom w:val="0"/>
      <w:divBdr>
        <w:top w:val="none" w:sz="0" w:space="0" w:color="auto"/>
        <w:left w:val="none" w:sz="0" w:space="0" w:color="auto"/>
        <w:bottom w:val="none" w:sz="0" w:space="0" w:color="auto"/>
        <w:right w:val="none" w:sz="0" w:space="0" w:color="auto"/>
      </w:divBdr>
    </w:div>
    <w:div w:id="1364134636">
      <w:bodyDiv w:val="1"/>
      <w:marLeft w:val="0"/>
      <w:marRight w:val="0"/>
      <w:marTop w:val="0"/>
      <w:marBottom w:val="0"/>
      <w:divBdr>
        <w:top w:val="none" w:sz="0" w:space="0" w:color="auto"/>
        <w:left w:val="none" w:sz="0" w:space="0" w:color="auto"/>
        <w:bottom w:val="none" w:sz="0" w:space="0" w:color="auto"/>
        <w:right w:val="none" w:sz="0" w:space="0" w:color="auto"/>
      </w:divBdr>
    </w:div>
    <w:div w:id="1514110065">
      <w:bodyDiv w:val="1"/>
      <w:marLeft w:val="0"/>
      <w:marRight w:val="0"/>
      <w:marTop w:val="0"/>
      <w:marBottom w:val="0"/>
      <w:divBdr>
        <w:top w:val="none" w:sz="0" w:space="0" w:color="auto"/>
        <w:left w:val="none" w:sz="0" w:space="0" w:color="auto"/>
        <w:bottom w:val="none" w:sz="0" w:space="0" w:color="auto"/>
        <w:right w:val="none" w:sz="0" w:space="0" w:color="auto"/>
      </w:divBdr>
    </w:div>
    <w:div w:id="1532036348">
      <w:bodyDiv w:val="1"/>
      <w:marLeft w:val="0"/>
      <w:marRight w:val="0"/>
      <w:marTop w:val="0"/>
      <w:marBottom w:val="0"/>
      <w:divBdr>
        <w:top w:val="none" w:sz="0" w:space="0" w:color="auto"/>
        <w:left w:val="none" w:sz="0" w:space="0" w:color="auto"/>
        <w:bottom w:val="none" w:sz="0" w:space="0" w:color="auto"/>
        <w:right w:val="none" w:sz="0" w:space="0" w:color="auto"/>
      </w:divBdr>
    </w:div>
    <w:div w:id="1540243732">
      <w:bodyDiv w:val="1"/>
      <w:marLeft w:val="0"/>
      <w:marRight w:val="0"/>
      <w:marTop w:val="0"/>
      <w:marBottom w:val="0"/>
      <w:divBdr>
        <w:top w:val="none" w:sz="0" w:space="0" w:color="auto"/>
        <w:left w:val="none" w:sz="0" w:space="0" w:color="auto"/>
        <w:bottom w:val="none" w:sz="0" w:space="0" w:color="auto"/>
        <w:right w:val="none" w:sz="0" w:space="0" w:color="auto"/>
      </w:divBdr>
    </w:div>
    <w:div w:id="1542866485">
      <w:bodyDiv w:val="1"/>
      <w:marLeft w:val="0"/>
      <w:marRight w:val="0"/>
      <w:marTop w:val="0"/>
      <w:marBottom w:val="0"/>
      <w:divBdr>
        <w:top w:val="none" w:sz="0" w:space="0" w:color="auto"/>
        <w:left w:val="none" w:sz="0" w:space="0" w:color="auto"/>
        <w:bottom w:val="none" w:sz="0" w:space="0" w:color="auto"/>
        <w:right w:val="none" w:sz="0" w:space="0" w:color="auto"/>
      </w:divBdr>
    </w:div>
    <w:div w:id="1611354379">
      <w:bodyDiv w:val="1"/>
      <w:marLeft w:val="0"/>
      <w:marRight w:val="0"/>
      <w:marTop w:val="0"/>
      <w:marBottom w:val="0"/>
      <w:divBdr>
        <w:top w:val="none" w:sz="0" w:space="0" w:color="auto"/>
        <w:left w:val="none" w:sz="0" w:space="0" w:color="auto"/>
        <w:bottom w:val="none" w:sz="0" w:space="0" w:color="auto"/>
        <w:right w:val="none" w:sz="0" w:space="0" w:color="auto"/>
      </w:divBdr>
    </w:div>
    <w:div w:id="1633902326">
      <w:bodyDiv w:val="1"/>
      <w:marLeft w:val="0"/>
      <w:marRight w:val="0"/>
      <w:marTop w:val="0"/>
      <w:marBottom w:val="0"/>
      <w:divBdr>
        <w:top w:val="none" w:sz="0" w:space="0" w:color="auto"/>
        <w:left w:val="none" w:sz="0" w:space="0" w:color="auto"/>
        <w:bottom w:val="none" w:sz="0" w:space="0" w:color="auto"/>
        <w:right w:val="none" w:sz="0" w:space="0" w:color="auto"/>
      </w:divBdr>
    </w:div>
    <w:div w:id="1675571905">
      <w:bodyDiv w:val="1"/>
      <w:marLeft w:val="0"/>
      <w:marRight w:val="0"/>
      <w:marTop w:val="0"/>
      <w:marBottom w:val="0"/>
      <w:divBdr>
        <w:top w:val="none" w:sz="0" w:space="0" w:color="auto"/>
        <w:left w:val="none" w:sz="0" w:space="0" w:color="auto"/>
        <w:bottom w:val="none" w:sz="0" w:space="0" w:color="auto"/>
        <w:right w:val="none" w:sz="0" w:space="0" w:color="auto"/>
      </w:divBdr>
    </w:div>
    <w:div w:id="1686975115">
      <w:bodyDiv w:val="1"/>
      <w:marLeft w:val="0"/>
      <w:marRight w:val="0"/>
      <w:marTop w:val="0"/>
      <w:marBottom w:val="0"/>
      <w:divBdr>
        <w:top w:val="none" w:sz="0" w:space="0" w:color="auto"/>
        <w:left w:val="none" w:sz="0" w:space="0" w:color="auto"/>
        <w:bottom w:val="none" w:sz="0" w:space="0" w:color="auto"/>
        <w:right w:val="none" w:sz="0" w:space="0" w:color="auto"/>
      </w:divBdr>
      <w:divsChild>
        <w:div w:id="777723412">
          <w:marLeft w:val="0"/>
          <w:marRight w:val="0"/>
          <w:marTop w:val="0"/>
          <w:marBottom w:val="300"/>
          <w:divBdr>
            <w:top w:val="none" w:sz="0" w:space="0" w:color="auto"/>
            <w:left w:val="none" w:sz="0" w:space="0" w:color="auto"/>
            <w:bottom w:val="none" w:sz="0" w:space="0" w:color="auto"/>
            <w:right w:val="none" w:sz="0" w:space="0" w:color="auto"/>
          </w:divBdr>
        </w:div>
      </w:divsChild>
    </w:div>
    <w:div w:id="1703901651">
      <w:bodyDiv w:val="1"/>
      <w:marLeft w:val="0"/>
      <w:marRight w:val="0"/>
      <w:marTop w:val="0"/>
      <w:marBottom w:val="0"/>
      <w:divBdr>
        <w:top w:val="none" w:sz="0" w:space="0" w:color="auto"/>
        <w:left w:val="none" w:sz="0" w:space="0" w:color="auto"/>
        <w:bottom w:val="none" w:sz="0" w:space="0" w:color="auto"/>
        <w:right w:val="none" w:sz="0" w:space="0" w:color="auto"/>
      </w:divBdr>
    </w:div>
    <w:div w:id="1836608834">
      <w:bodyDiv w:val="1"/>
      <w:marLeft w:val="0"/>
      <w:marRight w:val="0"/>
      <w:marTop w:val="0"/>
      <w:marBottom w:val="0"/>
      <w:divBdr>
        <w:top w:val="none" w:sz="0" w:space="0" w:color="auto"/>
        <w:left w:val="none" w:sz="0" w:space="0" w:color="auto"/>
        <w:bottom w:val="none" w:sz="0" w:space="0" w:color="auto"/>
        <w:right w:val="none" w:sz="0" w:space="0" w:color="auto"/>
      </w:divBdr>
      <w:divsChild>
        <w:div w:id="447356257">
          <w:blockQuote w:val="1"/>
          <w:marLeft w:val="0"/>
          <w:marRight w:val="0"/>
          <w:marTop w:val="0"/>
          <w:marBottom w:val="300"/>
          <w:divBdr>
            <w:top w:val="none" w:sz="0" w:space="0" w:color="auto"/>
            <w:left w:val="single" w:sz="18" w:space="15" w:color="000000"/>
            <w:bottom w:val="none" w:sz="0" w:space="0" w:color="auto"/>
            <w:right w:val="none" w:sz="0" w:space="0" w:color="auto"/>
          </w:divBdr>
        </w:div>
        <w:div w:id="800266053">
          <w:blockQuote w:val="1"/>
          <w:marLeft w:val="0"/>
          <w:marRight w:val="0"/>
          <w:marTop w:val="0"/>
          <w:marBottom w:val="300"/>
          <w:divBdr>
            <w:top w:val="none" w:sz="0" w:space="0" w:color="auto"/>
            <w:left w:val="single" w:sz="18" w:space="15" w:color="000000"/>
            <w:bottom w:val="none" w:sz="0" w:space="0" w:color="auto"/>
            <w:right w:val="none" w:sz="0" w:space="0" w:color="auto"/>
          </w:divBdr>
        </w:div>
        <w:div w:id="451167822">
          <w:blockQuote w:val="1"/>
          <w:marLeft w:val="0"/>
          <w:marRight w:val="0"/>
          <w:marTop w:val="0"/>
          <w:marBottom w:val="300"/>
          <w:divBdr>
            <w:top w:val="none" w:sz="0" w:space="0" w:color="auto"/>
            <w:left w:val="single" w:sz="18" w:space="15" w:color="000000"/>
            <w:bottom w:val="none" w:sz="0" w:space="0" w:color="auto"/>
            <w:right w:val="none" w:sz="0" w:space="0" w:color="auto"/>
          </w:divBdr>
        </w:div>
        <w:div w:id="762801332">
          <w:blockQuote w:val="1"/>
          <w:marLeft w:val="0"/>
          <w:marRight w:val="0"/>
          <w:marTop w:val="0"/>
          <w:marBottom w:val="300"/>
          <w:divBdr>
            <w:top w:val="none" w:sz="0" w:space="0" w:color="auto"/>
            <w:left w:val="single" w:sz="18" w:space="15" w:color="000000"/>
            <w:bottom w:val="none" w:sz="0" w:space="0" w:color="auto"/>
            <w:right w:val="none" w:sz="0" w:space="0" w:color="auto"/>
          </w:divBdr>
        </w:div>
      </w:divsChild>
    </w:div>
    <w:div w:id="1894075374">
      <w:bodyDiv w:val="1"/>
      <w:marLeft w:val="0"/>
      <w:marRight w:val="0"/>
      <w:marTop w:val="0"/>
      <w:marBottom w:val="0"/>
      <w:divBdr>
        <w:top w:val="none" w:sz="0" w:space="0" w:color="auto"/>
        <w:left w:val="none" w:sz="0" w:space="0" w:color="auto"/>
        <w:bottom w:val="none" w:sz="0" w:space="0" w:color="auto"/>
        <w:right w:val="none" w:sz="0" w:space="0" w:color="auto"/>
      </w:divBdr>
    </w:div>
    <w:div w:id="1915509788">
      <w:bodyDiv w:val="1"/>
      <w:marLeft w:val="0"/>
      <w:marRight w:val="0"/>
      <w:marTop w:val="0"/>
      <w:marBottom w:val="0"/>
      <w:divBdr>
        <w:top w:val="none" w:sz="0" w:space="0" w:color="auto"/>
        <w:left w:val="none" w:sz="0" w:space="0" w:color="auto"/>
        <w:bottom w:val="none" w:sz="0" w:space="0" w:color="auto"/>
        <w:right w:val="none" w:sz="0" w:space="0" w:color="auto"/>
      </w:divBdr>
    </w:div>
    <w:div w:id="1916434268">
      <w:bodyDiv w:val="1"/>
      <w:marLeft w:val="0"/>
      <w:marRight w:val="0"/>
      <w:marTop w:val="0"/>
      <w:marBottom w:val="0"/>
      <w:divBdr>
        <w:top w:val="none" w:sz="0" w:space="0" w:color="auto"/>
        <w:left w:val="none" w:sz="0" w:space="0" w:color="auto"/>
        <w:bottom w:val="none" w:sz="0" w:space="0" w:color="auto"/>
        <w:right w:val="none" w:sz="0" w:space="0" w:color="auto"/>
      </w:divBdr>
    </w:div>
    <w:div w:id="1917280193">
      <w:bodyDiv w:val="1"/>
      <w:marLeft w:val="0"/>
      <w:marRight w:val="0"/>
      <w:marTop w:val="0"/>
      <w:marBottom w:val="0"/>
      <w:divBdr>
        <w:top w:val="none" w:sz="0" w:space="0" w:color="auto"/>
        <w:left w:val="none" w:sz="0" w:space="0" w:color="auto"/>
        <w:bottom w:val="none" w:sz="0" w:space="0" w:color="auto"/>
        <w:right w:val="none" w:sz="0" w:space="0" w:color="auto"/>
      </w:divBdr>
    </w:div>
    <w:div w:id="1931573188">
      <w:bodyDiv w:val="1"/>
      <w:marLeft w:val="0"/>
      <w:marRight w:val="0"/>
      <w:marTop w:val="0"/>
      <w:marBottom w:val="0"/>
      <w:divBdr>
        <w:top w:val="none" w:sz="0" w:space="0" w:color="auto"/>
        <w:left w:val="none" w:sz="0" w:space="0" w:color="auto"/>
        <w:bottom w:val="none" w:sz="0" w:space="0" w:color="auto"/>
        <w:right w:val="none" w:sz="0" w:space="0" w:color="auto"/>
      </w:divBdr>
      <w:divsChild>
        <w:div w:id="637304028">
          <w:marLeft w:val="0"/>
          <w:marRight w:val="0"/>
          <w:marTop w:val="100"/>
          <w:marBottom w:val="100"/>
          <w:divBdr>
            <w:top w:val="none" w:sz="0" w:space="0" w:color="auto"/>
            <w:left w:val="none" w:sz="0" w:space="0" w:color="auto"/>
            <w:bottom w:val="none" w:sz="0" w:space="0" w:color="auto"/>
            <w:right w:val="none" w:sz="0" w:space="0" w:color="auto"/>
          </w:divBdr>
        </w:div>
        <w:div w:id="1615483186">
          <w:marLeft w:val="0"/>
          <w:marRight w:val="0"/>
          <w:marTop w:val="100"/>
          <w:marBottom w:val="100"/>
          <w:divBdr>
            <w:top w:val="none" w:sz="0" w:space="0" w:color="auto"/>
            <w:left w:val="none" w:sz="0" w:space="0" w:color="auto"/>
            <w:bottom w:val="none" w:sz="0" w:space="0" w:color="auto"/>
            <w:right w:val="none" w:sz="0" w:space="0" w:color="auto"/>
          </w:divBdr>
        </w:div>
        <w:div w:id="1256860652">
          <w:blockQuote w:val="1"/>
          <w:marLeft w:val="0"/>
          <w:marRight w:val="0"/>
          <w:marTop w:val="0"/>
          <w:marBottom w:val="300"/>
          <w:divBdr>
            <w:top w:val="none" w:sz="0" w:space="0" w:color="auto"/>
            <w:left w:val="single" w:sz="18" w:space="15" w:color="000000"/>
            <w:bottom w:val="none" w:sz="0" w:space="0" w:color="auto"/>
            <w:right w:val="none" w:sz="0" w:space="0" w:color="auto"/>
          </w:divBdr>
        </w:div>
        <w:div w:id="204029576">
          <w:marLeft w:val="0"/>
          <w:marRight w:val="0"/>
          <w:marTop w:val="100"/>
          <w:marBottom w:val="100"/>
          <w:divBdr>
            <w:top w:val="none" w:sz="0" w:space="0" w:color="auto"/>
            <w:left w:val="none" w:sz="0" w:space="0" w:color="auto"/>
            <w:bottom w:val="none" w:sz="0" w:space="0" w:color="auto"/>
            <w:right w:val="none" w:sz="0" w:space="0" w:color="auto"/>
          </w:divBdr>
        </w:div>
        <w:div w:id="806433160">
          <w:marLeft w:val="0"/>
          <w:marRight w:val="0"/>
          <w:marTop w:val="100"/>
          <w:marBottom w:val="100"/>
          <w:divBdr>
            <w:top w:val="none" w:sz="0" w:space="0" w:color="auto"/>
            <w:left w:val="none" w:sz="0" w:space="0" w:color="auto"/>
            <w:bottom w:val="none" w:sz="0" w:space="0" w:color="auto"/>
            <w:right w:val="none" w:sz="0" w:space="0" w:color="auto"/>
          </w:divBdr>
        </w:div>
        <w:div w:id="1106660840">
          <w:marLeft w:val="0"/>
          <w:marRight w:val="0"/>
          <w:marTop w:val="100"/>
          <w:marBottom w:val="100"/>
          <w:divBdr>
            <w:top w:val="none" w:sz="0" w:space="0" w:color="auto"/>
            <w:left w:val="none" w:sz="0" w:space="0" w:color="auto"/>
            <w:bottom w:val="none" w:sz="0" w:space="0" w:color="auto"/>
            <w:right w:val="none" w:sz="0" w:space="0" w:color="auto"/>
          </w:divBdr>
        </w:div>
        <w:div w:id="671949968">
          <w:blockQuote w:val="1"/>
          <w:marLeft w:val="0"/>
          <w:marRight w:val="0"/>
          <w:marTop w:val="0"/>
          <w:marBottom w:val="300"/>
          <w:divBdr>
            <w:top w:val="none" w:sz="0" w:space="0" w:color="auto"/>
            <w:left w:val="single" w:sz="18" w:space="15" w:color="000000"/>
            <w:bottom w:val="none" w:sz="0" w:space="0" w:color="auto"/>
            <w:right w:val="none" w:sz="0" w:space="0" w:color="auto"/>
          </w:divBdr>
        </w:div>
        <w:div w:id="714155404">
          <w:marLeft w:val="0"/>
          <w:marRight w:val="0"/>
          <w:marTop w:val="120"/>
          <w:marBottom w:val="120"/>
          <w:divBdr>
            <w:top w:val="none" w:sz="0" w:space="0" w:color="auto"/>
            <w:left w:val="none" w:sz="0" w:space="0" w:color="auto"/>
            <w:bottom w:val="none" w:sz="0" w:space="0" w:color="auto"/>
            <w:right w:val="none" w:sz="0" w:space="0" w:color="auto"/>
          </w:divBdr>
        </w:div>
      </w:divsChild>
    </w:div>
    <w:div w:id="1933857016">
      <w:bodyDiv w:val="1"/>
      <w:marLeft w:val="0"/>
      <w:marRight w:val="0"/>
      <w:marTop w:val="0"/>
      <w:marBottom w:val="0"/>
      <w:divBdr>
        <w:top w:val="none" w:sz="0" w:space="0" w:color="auto"/>
        <w:left w:val="none" w:sz="0" w:space="0" w:color="auto"/>
        <w:bottom w:val="none" w:sz="0" w:space="0" w:color="auto"/>
        <w:right w:val="none" w:sz="0" w:space="0" w:color="auto"/>
      </w:divBdr>
    </w:div>
    <w:div w:id="1956135760">
      <w:bodyDiv w:val="1"/>
      <w:marLeft w:val="0"/>
      <w:marRight w:val="0"/>
      <w:marTop w:val="0"/>
      <w:marBottom w:val="0"/>
      <w:divBdr>
        <w:top w:val="none" w:sz="0" w:space="0" w:color="auto"/>
        <w:left w:val="none" w:sz="0" w:space="0" w:color="auto"/>
        <w:bottom w:val="none" w:sz="0" w:space="0" w:color="auto"/>
        <w:right w:val="none" w:sz="0" w:space="0" w:color="auto"/>
      </w:divBdr>
    </w:div>
    <w:div w:id="1982418128">
      <w:bodyDiv w:val="1"/>
      <w:marLeft w:val="0"/>
      <w:marRight w:val="0"/>
      <w:marTop w:val="0"/>
      <w:marBottom w:val="0"/>
      <w:divBdr>
        <w:top w:val="none" w:sz="0" w:space="0" w:color="auto"/>
        <w:left w:val="none" w:sz="0" w:space="0" w:color="auto"/>
        <w:bottom w:val="none" w:sz="0" w:space="0" w:color="auto"/>
        <w:right w:val="none" w:sz="0" w:space="0" w:color="auto"/>
      </w:divBdr>
    </w:div>
    <w:div w:id="2014064763">
      <w:bodyDiv w:val="1"/>
      <w:marLeft w:val="0"/>
      <w:marRight w:val="0"/>
      <w:marTop w:val="0"/>
      <w:marBottom w:val="0"/>
      <w:divBdr>
        <w:top w:val="none" w:sz="0" w:space="0" w:color="auto"/>
        <w:left w:val="none" w:sz="0" w:space="0" w:color="auto"/>
        <w:bottom w:val="none" w:sz="0" w:space="0" w:color="auto"/>
        <w:right w:val="none" w:sz="0" w:space="0" w:color="auto"/>
      </w:divBdr>
      <w:divsChild>
        <w:div w:id="686055264">
          <w:marLeft w:val="0"/>
          <w:marRight w:val="0"/>
          <w:marTop w:val="0"/>
          <w:marBottom w:val="300"/>
          <w:divBdr>
            <w:top w:val="none" w:sz="0" w:space="0" w:color="auto"/>
            <w:left w:val="none" w:sz="0" w:space="0" w:color="auto"/>
            <w:bottom w:val="none" w:sz="0" w:space="0" w:color="auto"/>
            <w:right w:val="none" w:sz="0" w:space="0" w:color="auto"/>
          </w:divBdr>
        </w:div>
      </w:divsChild>
    </w:div>
    <w:div w:id="204127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aceofit.com/sql-server-2014-core-licensing/" TargetMode="External"/><Relationship Id="rId18" Type="http://schemas.openxmlformats.org/officeDocument/2006/relationships/image" Target="media/image3.jpeg"/><Relationship Id="rId26" Type="http://schemas.openxmlformats.org/officeDocument/2006/relationships/hyperlink" Target="https://www.faceofit.com/sql-server-2014-server-cal-licensing/" TargetMode="External"/><Relationship Id="rId39" Type="http://schemas.openxmlformats.org/officeDocument/2006/relationships/image" Target="media/image9.png"/><Relationship Id="rId21" Type="http://schemas.openxmlformats.org/officeDocument/2006/relationships/hyperlink" Target="https://www.faceofit.com/sql-server-licensing-in-a-vm/" TargetMode="External"/><Relationship Id="rId34" Type="http://schemas.openxmlformats.org/officeDocument/2006/relationships/hyperlink" Target="https://www.faceofit.com/sql-server-2014-server-cal-licensing/" TargetMode="External"/><Relationship Id="rId42" Type="http://schemas.openxmlformats.org/officeDocument/2006/relationships/image" Target="media/image10.png"/><Relationship Id="rId47" Type="http://schemas.openxmlformats.org/officeDocument/2006/relationships/image" Target="media/image13.jpeg"/><Relationship Id="rId50" Type="http://schemas.openxmlformats.org/officeDocument/2006/relationships/fontTable" Target="fontTable.xml"/><Relationship Id="rId7" Type="http://schemas.openxmlformats.org/officeDocument/2006/relationships/hyperlink" Target="https://www.faceofit.com/sql-server-2014-server-cal-licensing/" TargetMode="Externa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hyperlink" Target="https://www.faceofit.com/sql-server-licensing-in-a-vm/" TargetMode="External"/><Relationship Id="rId11" Type="http://schemas.openxmlformats.org/officeDocument/2006/relationships/hyperlink" Target="https://www.faceofit.com/sql-server-2014-core-licensing/" TargetMode="External"/><Relationship Id="rId24" Type="http://schemas.openxmlformats.org/officeDocument/2006/relationships/hyperlink" Target="https://www.faceofit.com/sql-server-2014-server-cal-licensing/" TargetMode="External"/><Relationship Id="rId32" Type="http://schemas.openxmlformats.org/officeDocument/2006/relationships/hyperlink" Target="https://www.faceofit.com/sql-server-licensing-in-a-vm/" TargetMode="External"/><Relationship Id="rId37" Type="http://schemas.openxmlformats.org/officeDocument/2006/relationships/hyperlink" Target="https://www.faceofit.com/sql-server-2014-core-licensing/" TargetMode="External"/><Relationship Id="rId40" Type="http://schemas.openxmlformats.org/officeDocument/2006/relationships/hyperlink" Target="https://www.faceofit.com/sql-server-2014-core-licensing/" TargetMode="External"/><Relationship Id="rId45" Type="http://schemas.openxmlformats.org/officeDocument/2006/relationships/hyperlink" Target="https://www.faceofit.com/sql-server-licensing-in-a-vm/" TargetMode="External"/><Relationship Id="rId5" Type="http://schemas.openxmlformats.org/officeDocument/2006/relationships/hyperlink" Target="https://www.faceofit.com/sql-server-2014-licensing/" TargetMode="External"/><Relationship Id="rId15" Type="http://schemas.openxmlformats.org/officeDocument/2006/relationships/hyperlink" Target="https://www.faceofit.com/sql-server-2014-licensing/"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hyperlink" Target="https://www.faceofit.com/sql-server-2014-server-cal-licensing/" TargetMode="External"/><Relationship Id="rId49" Type="http://schemas.openxmlformats.org/officeDocument/2006/relationships/hyperlink" Target="https://www.faceofit.com/sql-server-2014-core-licensing/" TargetMode="External"/><Relationship Id="rId10" Type="http://schemas.openxmlformats.org/officeDocument/2006/relationships/hyperlink" Target="https://www.faceofit.com/sql-server-2014-core-licensing/" TargetMode="External"/><Relationship Id="rId19" Type="http://schemas.openxmlformats.org/officeDocument/2006/relationships/hyperlink" Target="https://www.faceofit.com/sql-server-licensing-in-a-vm/" TargetMode="External"/><Relationship Id="rId31" Type="http://schemas.openxmlformats.org/officeDocument/2006/relationships/hyperlink" Target="https://www.microsoft.com/en-in/Licensing/product-licensing/products.aspx" TargetMode="External"/><Relationship Id="rId44" Type="http://schemas.openxmlformats.org/officeDocument/2006/relationships/hyperlink" Target="https://www.faceofit.com/licensing-sql-server-2014-for-high-availability/" TargetMode="External"/><Relationship Id="rId4" Type="http://schemas.openxmlformats.org/officeDocument/2006/relationships/webSettings" Target="webSettings.xml"/><Relationship Id="rId9" Type="http://schemas.openxmlformats.org/officeDocument/2006/relationships/hyperlink" Target="https://www.faceofit.com/sql-server-2014-server-cal-licensing/" TargetMode="External"/><Relationship Id="rId14" Type="http://schemas.openxmlformats.org/officeDocument/2006/relationships/hyperlink" Target="https://www.faceofit.com/sql-server-2014-server-cal-licensing/" TargetMode="External"/><Relationship Id="rId22" Type="http://schemas.openxmlformats.org/officeDocument/2006/relationships/image" Target="media/image5.png"/><Relationship Id="rId27" Type="http://schemas.openxmlformats.org/officeDocument/2006/relationships/image" Target="media/image7.jpeg"/><Relationship Id="rId30" Type="http://schemas.openxmlformats.org/officeDocument/2006/relationships/hyperlink" Target="https://support.microsoft.com/en-us/kb/956893" TargetMode="External"/><Relationship Id="rId35" Type="http://schemas.openxmlformats.org/officeDocument/2006/relationships/hyperlink" Target="https://www.faceofit.com/sql-server-2014-core-licensing/" TargetMode="External"/><Relationship Id="rId43" Type="http://schemas.openxmlformats.org/officeDocument/2006/relationships/image" Target="media/image11.png"/><Relationship Id="rId48" Type="http://schemas.openxmlformats.org/officeDocument/2006/relationships/hyperlink" Target="https://www.faceofit.com/sql-server-2014-core-licensing/" TargetMode="External"/><Relationship Id="rId8" Type="http://schemas.openxmlformats.org/officeDocument/2006/relationships/hyperlink" Target="https://www.faceofit.com/sql-server-2014-core-licensing/"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faceofit.com/sql-server-2014-core-licensing/" TargetMode="External"/><Relationship Id="rId17" Type="http://schemas.openxmlformats.org/officeDocument/2006/relationships/hyperlink" Target="https://www.faceofit.com/sql-server-licensing-in-a-vm/" TargetMode="External"/><Relationship Id="rId25" Type="http://schemas.openxmlformats.org/officeDocument/2006/relationships/hyperlink" Target="https://www.faceofit.com/sql-server-licensing-in-a-vm/" TargetMode="External"/><Relationship Id="rId33" Type="http://schemas.openxmlformats.org/officeDocument/2006/relationships/hyperlink" Target="https://www.faceofit.com/sql-server-2014-licensing/" TargetMode="External"/><Relationship Id="rId38" Type="http://schemas.openxmlformats.org/officeDocument/2006/relationships/hyperlink" Target="https://www.microsoft.com/en-in/Licensing/licensing-programs/software-assurance-default.aspx" TargetMode="External"/><Relationship Id="rId46" Type="http://schemas.openxmlformats.org/officeDocument/2006/relationships/image" Target="media/image12.jpeg"/><Relationship Id="rId20" Type="http://schemas.openxmlformats.org/officeDocument/2006/relationships/image" Target="media/image4.png"/><Relationship Id="rId41" Type="http://schemas.openxmlformats.org/officeDocument/2006/relationships/hyperlink" Target="https://www.faceofit.com/sql-server-2014-core-licensing/" TargetMode="External"/><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9</Pages>
  <Words>2431</Words>
  <Characters>13863</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Madupu, Praveen</dc:creator>
  <cp:keywords/>
  <dc:description/>
  <cp:lastModifiedBy>Madupu, Praveen</cp:lastModifiedBy>
  <cp:revision>11</cp:revision>
  <dcterms:created xsi:type="dcterms:W3CDTF">2020-04-27T09:25:00Z</dcterms:created>
  <dcterms:modified xsi:type="dcterms:W3CDTF">2020-04-27T09:36:00Z</dcterms:modified>
</cp:coreProperties>
</file>