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C3FB5" w14:textId="77777777" w:rsidR="00FE03A6" w:rsidRPr="000A6870" w:rsidRDefault="00FE03A6" w:rsidP="000A6870">
      <w:pPr>
        <w:pStyle w:val="Heading3"/>
        <w:shd w:val="clear" w:color="auto" w:fill="FFFFFF"/>
        <w:spacing w:before="300" w:after="120"/>
        <w:jc w:val="center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0A6870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Licensing SQL Server 2014 for High Availability</w:t>
      </w:r>
    </w:p>
    <w:p w14:paraId="7D7FFD4C" w14:textId="591DDEA0" w:rsidR="007A21BE" w:rsidRPr="000A6870" w:rsidRDefault="000A6870" w:rsidP="000A6870">
      <w:pPr>
        <w:jc w:val="center"/>
        <w:rPr>
          <w:rFonts w:cstheme="minorHAnsi"/>
          <w:sz w:val="18"/>
          <w:szCs w:val="18"/>
        </w:rPr>
      </w:pPr>
      <w:hyperlink r:id="rId5" w:history="1">
        <w:r w:rsidRPr="000A6870">
          <w:rPr>
            <w:rStyle w:val="Hyperlink"/>
            <w:rFonts w:cstheme="minorHAnsi"/>
            <w:sz w:val="18"/>
            <w:szCs w:val="18"/>
          </w:rPr>
          <w:t>https://www.faceofit.com/licensing-sql-server-2014-for-high-availability/</w:t>
        </w:r>
      </w:hyperlink>
    </w:p>
    <w:p w14:paraId="69F28739" w14:textId="183A9384" w:rsidR="000A6870" w:rsidRPr="000A6870" w:rsidRDefault="000A6870" w:rsidP="00FE03A6">
      <w:pPr>
        <w:rPr>
          <w:rFonts w:cstheme="minorHAnsi"/>
          <w:sz w:val="20"/>
          <w:szCs w:val="20"/>
        </w:rPr>
      </w:pPr>
    </w:p>
    <w:p w14:paraId="35B68468" w14:textId="77777777" w:rsidR="000A6870" w:rsidRPr="003C4B95" w:rsidRDefault="000A6870" w:rsidP="000A687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3C4B95">
        <w:rPr>
          <w:rFonts w:asciiTheme="minorHAnsi" w:hAnsiTheme="minorHAnsi" w:cstheme="minorHAnsi"/>
          <w:color w:val="555555"/>
          <w:sz w:val="18"/>
          <w:szCs w:val="18"/>
        </w:rPr>
        <w:t xml:space="preserve">Today, more and more SQL </w:t>
      </w:r>
      <w:proofErr w:type="spellStart"/>
      <w:r w:rsidRPr="003C4B95">
        <w:rPr>
          <w:rFonts w:asciiTheme="minorHAnsi" w:hAnsiTheme="minorHAnsi" w:cstheme="minorHAnsi"/>
          <w:color w:val="555555"/>
          <w:sz w:val="18"/>
          <w:szCs w:val="18"/>
        </w:rPr>
        <w:t>Server’s</w:t>
      </w:r>
      <w:proofErr w:type="spellEnd"/>
      <w:r w:rsidRPr="003C4B95">
        <w:rPr>
          <w:rFonts w:asciiTheme="minorHAnsi" w:hAnsiTheme="minorHAnsi" w:cstheme="minorHAnsi"/>
          <w:color w:val="555555"/>
          <w:sz w:val="18"/>
          <w:szCs w:val="18"/>
        </w:rPr>
        <w:t xml:space="preserve"> are being deployed in a High availability </w:t>
      </w:r>
      <w:proofErr w:type="gramStart"/>
      <w:r w:rsidRPr="003C4B95">
        <w:rPr>
          <w:rFonts w:asciiTheme="minorHAnsi" w:hAnsiTheme="minorHAnsi" w:cstheme="minorHAnsi"/>
          <w:color w:val="555555"/>
          <w:sz w:val="18"/>
          <w:szCs w:val="18"/>
        </w:rPr>
        <w:t>scenario,  using</w:t>
      </w:r>
      <w:proofErr w:type="gramEnd"/>
      <w:r w:rsidRPr="003C4B95">
        <w:rPr>
          <w:rFonts w:asciiTheme="minorHAnsi" w:hAnsiTheme="minorHAnsi" w:cstheme="minorHAnsi"/>
          <w:color w:val="555555"/>
          <w:sz w:val="18"/>
          <w:szCs w:val="18"/>
        </w:rPr>
        <w:t xml:space="preserve"> various technologies available, such as Database Mirroring, Log shipping, Hardware Clustering, Replication or Always On availability groups. In some cases, SQL </w:t>
      </w:r>
      <w:proofErr w:type="spellStart"/>
      <w:r w:rsidRPr="003C4B95">
        <w:rPr>
          <w:rFonts w:asciiTheme="minorHAnsi" w:hAnsiTheme="minorHAnsi" w:cstheme="minorHAnsi"/>
          <w:color w:val="555555"/>
          <w:sz w:val="18"/>
          <w:szCs w:val="18"/>
        </w:rPr>
        <w:t>Server’s</w:t>
      </w:r>
      <w:proofErr w:type="spellEnd"/>
      <w:r w:rsidRPr="003C4B95">
        <w:rPr>
          <w:rFonts w:asciiTheme="minorHAnsi" w:hAnsiTheme="minorHAnsi" w:cstheme="minorHAnsi"/>
          <w:color w:val="555555"/>
          <w:sz w:val="18"/>
          <w:szCs w:val="18"/>
        </w:rPr>
        <w:t xml:space="preserve"> are being </w:t>
      </w:r>
      <w:hyperlink r:id="rId6" w:history="1">
        <w:r w:rsidRPr="003C4B95">
          <w:rPr>
            <w:rStyle w:val="Hyperlink"/>
            <w:rFonts w:asciiTheme="minorHAnsi" w:hAnsiTheme="minorHAnsi" w:cstheme="minorHAnsi"/>
            <w:sz w:val="18"/>
            <w:szCs w:val="18"/>
          </w:rPr>
          <w:t>deployed on a Virtual Machine</w:t>
        </w:r>
      </w:hyperlink>
      <w:r w:rsidRPr="003C4B95">
        <w:rPr>
          <w:rFonts w:asciiTheme="minorHAnsi" w:hAnsiTheme="minorHAnsi" w:cstheme="minorHAnsi"/>
          <w:color w:val="555555"/>
          <w:sz w:val="18"/>
          <w:szCs w:val="18"/>
        </w:rPr>
        <w:t>, which in itself is highly available.</w:t>
      </w:r>
    </w:p>
    <w:p w14:paraId="36026C2A" w14:textId="77777777" w:rsidR="000A6870" w:rsidRPr="003C4B95" w:rsidRDefault="000A6870" w:rsidP="000A687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3C4B95">
        <w:rPr>
          <w:rFonts w:asciiTheme="minorHAnsi" w:hAnsiTheme="minorHAnsi" w:cstheme="minorHAnsi"/>
          <w:color w:val="555555"/>
          <w:sz w:val="18"/>
          <w:szCs w:val="18"/>
        </w:rPr>
        <w:t>Let’s talk about the various scenario’s in HA &amp; DR with SQL Server and how to properly license them.</w:t>
      </w:r>
    </w:p>
    <w:p w14:paraId="15FC4DB1" w14:textId="77777777" w:rsidR="000A6870" w:rsidRPr="003C4B95" w:rsidRDefault="000A6870" w:rsidP="000A687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3C4B95">
        <w:rPr>
          <w:rFonts w:asciiTheme="minorHAnsi" w:hAnsiTheme="minorHAnsi" w:cstheme="minorHAnsi"/>
          <w:color w:val="555555"/>
          <w:sz w:val="18"/>
          <w:szCs w:val="18"/>
        </w:rPr>
        <w:t>You need to buy </w:t>
      </w:r>
      <w:r w:rsidRPr="003C4B95">
        <w:rPr>
          <w:rStyle w:val="Strong"/>
          <w:rFonts w:asciiTheme="minorHAnsi" w:hAnsiTheme="minorHAnsi" w:cstheme="minorHAnsi"/>
          <w:color w:val="555555"/>
          <w:sz w:val="18"/>
          <w:szCs w:val="18"/>
        </w:rPr>
        <w:t>Software Assurance</w:t>
      </w:r>
      <w:r w:rsidRPr="003C4B95">
        <w:rPr>
          <w:rFonts w:asciiTheme="minorHAnsi" w:hAnsiTheme="minorHAnsi" w:cstheme="minorHAnsi"/>
          <w:color w:val="555555"/>
          <w:sz w:val="18"/>
          <w:szCs w:val="18"/>
        </w:rPr>
        <w:t> for all SQL Server’s which needs to have a “Warm” passive server for failover purposes. The SA (Software Assurance) benefit will ensure “</w:t>
      </w:r>
      <w:r w:rsidRPr="003C4B95">
        <w:rPr>
          <w:rStyle w:val="Strong"/>
          <w:rFonts w:asciiTheme="minorHAnsi" w:hAnsiTheme="minorHAnsi" w:cstheme="minorHAnsi"/>
          <w:color w:val="555555"/>
          <w:sz w:val="18"/>
          <w:szCs w:val="18"/>
          <w:u w:val="single"/>
        </w:rPr>
        <w:t>License Mobility Rights</w:t>
      </w:r>
      <w:r w:rsidRPr="003C4B95">
        <w:rPr>
          <w:rFonts w:asciiTheme="minorHAnsi" w:hAnsiTheme="minorHAnsi" w:cstheme="minorHAnsi"/>
          <w:color w:val="555555"/>
          <w:sz w:val="18"/>
          <w:szCs w:val="18"/>
        </w:rPr>
        <w:t>” so that you do not need to buy additional licenses for the failover partner.</w:t>
      </w:r>
    </w:p>
    <w:p w14:paraId="0B3D4F41" w14:textId="77777777" w:rsidR="000A6870" w:rsidRPr="003C4B95" w:rsidRDefault="000A6870" w:rsidP="000A68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555555"/>
          <w:sz w:val="18"/>
          <w:szCs w:val="18"/>
        </w:rPr>
      </w:pPr>
      <w:r w:rsidRPr="003C4B95">
        <w:rPr>
          <w:rStyle w:val="Strong"/>
          <w:rFonts w:asciiTheme="minorHAnsi" w:hAnsiTheme="minorHAnsi" w:cstheme="minorHAnsi"/>
          <w:i/>
          <w:iCs/>
          <w:color w:val="FF0000"/>
          <w:sz w:val="18"/>
          <w:szCs w:val="18"/>
        </w:rPr>
        <w:t xml:space="preserve">Note: You cannot run any </w:t>
      </w:r>
      <w:proofErr w:type="gramStart"/>
      <w:r w:rsidRPr="003C4B95">
        <w:rPr>
          <w:rStyle w:val="Strong"/>
          <w:rFonts w:asciiTheme="minorHAnsi" w:hAnsiTheme="minorHAnsi" w:cstheme="minorHAnsi"/>
          <w:i/>
          <w:iCs/>
          <w:color w:val="FF0000"/>
          <w:sz w:val="18"/>
          <w:szCs w:val="18"/>
        </w:rPr>
        <w:t>workloads(</w:t>
      </w:r>
      <w:proofErr w:type="gramEnd"/>
      <w:r w:rsidRPr="003C4B95">
        <w:rPr>
          <w:rStyle w:val="Strong"/>
          <w:rFonts w:asciiTheme="minorHAnsi" w:hAnsiTheme="minorHAnsi" w:cstheme="minorHAnsi"/>
          <w:i/>
          <w:iCs/>
          <w:color w:val="FF0000"/>
          <w:sz w:val="18"/>
          <w:szCs w:val="18"/>
        </w:rPr>
        <w:t>Reporting, Querying etc.) on the secondary server. If you do, you need to “Fully” license the second SQL Server. Only Standby servers are supported.</w:t>
      </w:r>
    </w:p>
    <w:p w14:paraId="4A161CD2" w14:textId="54EE84AB" w:rsidR="000A6870" w:rsidRPr="000A6870" w:rsidRDefault="000A6870" w:rsidP="000A6870">
      <w:pPr>
        <w:shd w:val="clear" w:color="auto" w:fill="FFFFFF"/>
        <w:rPr>
          <w:rFonts w:cstheme="minorHAnsi"/>
          <w:i/>
          <w:iCs/>
          <w:color w:val="000000"/>
          <w:sz w:val="20"/>
          <w:szCs w:val="20"/>
        </w:rPr>
      </w:pPr>
      <w:r w:rsidRPr="000A6870">
        <w:rPr>
          <w:rFonts w:cstheme="minorHAnsi"/>
          <w:i/>
          <w:iCs/>
          <w:noProof/>
          <w:color w:val="000000"/>
          <w:sz w:val="20"/>
          <w:szCs w:val="20"/>
        </w:rPr>
        <w:drawing>
          <wp:inline distT="0" distB="0" distL="0" distR="0" wp14:anchorId="1E6B0486" wp14:editId="7F0331AA">
            <wp:extent cx="4511615" cy="1667578"/>
            <wp:effectExtent l="0" t="0" r="3810" b="8890"/>
            <wp:docPr id="16" name="Picture 16" descr="Licensing SQL Server 2014 for High Avail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censing SQL Server 2014 for High Availabi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843" cy="16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8492" w14:textId="77777777" w:rsidR="000A6870" w:rsidRPr="00B4510C" w:rsidRDefault="000A6870" w:rsidP="000A6870">
      <w:pPr>
        <w:pStyle w:val="wp-caption-text"/>
        <w:shd w:val="clear" w:color="auto" w:fill="FFFFFF"/>
        <w:spacing w:before="120" w:beforeAutospacing="0" w:after="0" w:afterAutospacing="0" w:line="255" w:lineRule="atLeast"/>
        <w:rPr>
          <w:rFonts w:asciiTheme="minorHAnsi" w:hAnsiTheme="minorHAnsi" w:cstheme="minorHAnsi"/>
          <w:b/>
          <w:bCs/>
          <w:i/>
          <w:iCs/>
          <w:color w:val="888888"/>
          <w:sz w:val="18"/>
          <w:szCs w:val="18"/>
        </w:rPr>
      </w:pPr>
      <w:r w:rsidRPr="00B4510C">
        <w:rPr>
          <w:rFonts w:asciiTheme="minorHAnsi" w:hAnsiTheme="minorHAnsi" w:cstheme="minorHAnsi"/>
          <w:b/>
          <w:bCs/>
          <w:i/>
          <w:iCs/>
          <w:color w:val="888888"/>
          <w:sz w:val="18"/>
          <w:szCs w:val="18"/>
          <w:highlight w:val="yellow"/>
        </w:rPr>
        <w:t>Source: Microsoft Licensing Guide for SQL 2014</w:t>
      </w:r>
    </w:p>
    <w:p w14:paraId="7156BE89" w14:textId="77777777" w:rsidR="000A6870" w:rsidRPr="003C4B95" w:rsidRDefault="000A6870" w:rsidP="000A687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3C4B95">
        <w:rPr>
          <w:rFonts w:asciiTheme="minorHAnsi" w:hAnsiTheme="minorHAnsi" w:cstheme="minorHAnsi"/>
          <w:color w:val="555555"/>
          <w:sz w:val="18"/>
          <w:szCs w:val="18"/>
        </w:rPr>
        <w:t xml:space="preserve">In the following scenario, </w:t>
      </w:r>
      <w:proofErr w:type="gramStart"/>
      <w:r w:rsidRPr="003C4B95">
        <w:rPr>
          <w:rFonts w:asciiTheme="minorHAnsi" w:hAnsiTheme="minorHAnsi" w:cstheme="minorHAnsi"/>
          <w:color w:val="555555"/>
          <w:sz w:val="18"/>
          <w:szCs w:val="18"/>
        </w:rPr>
        <w:t>One</w:t>
      </w:r>
      <w:proofErr w:type="gramEnd"/>
      <w:r w:rsidRPr="003C4B95">
        <w:rPr>
          <w:rFonts w:asciiTheme="minorHAnsi" w:hAnsiTheme="minorHAnsi" w:cstheme="minorHAnsi"/>
          <w:color w:val="555555"/>
          <w:sz w:val="18"/>
          <w:szCs w:val="18"/>
        </w:rPr>
        <w:t xml:space="preserve"> location is covered under the SA benefit. However, since there are 2 secondaries, you need to purchase the required number of licenses for maintaining two DR sites.</w:t>
      </w:r>
    </w:p>
    <w:p w14:paraId="27D88462" w14:textId="601D282D" w:rsidR="000A6870" w:rsidRPr="003C4B95" w:rsidRDefault="000A6870" w:rsidP="000A6870">
      <w:pPr>
        <w:shd w:val="clear" w:color="auto" w:fill="FFFFFF"/>
        <w:rPr>
          <w:rFonts w:cstheme="minorHAnsi"/>
          <w:i/>
          <w:iCs/>
          <w:color w:val="000000"/>
          <w:sz w:val="18"/>
          <w:szCs w:val="18"/>
        </w:rPr>
      </w:pPr>
      <w:r w:rsidRPr="003C4B95">
        <w:rPr>
          <w:rFonts w:cstheme="minorHAnsi"/>
          <w:i/>
          <w:iCs/>
          <w:noProof/>
          <w:color w:val="000000"/>
          <w:sz w:val="18"/>
          <w:szCs w:val="18"/>
        </w:rPr>
        <w:drawing>
          <wp:inline distT="0" distB="0" distL="0" distR="0" wp14:anchorId="0A9949F2" wp14:editId="268C8593">
            <wp:extent cx="5400136" cy="2629916"/>
            <wp:effectExtent l="0" t="0" r="0" b="0"/>
            <wp:docPr id="15" name="Picture 15" descr="Licensing SQL Server 2014 for High Avail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censing SQL Server 2014 for High Availabil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00" cy="26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6BC2" w14:textId="77777777" w:rsidR="000A6870" w:rsidRPr="003C4B95" w:rsidRDefault="000A6870" w:rsidP="000A6870">
      <w:pPr>
        <w:pStyle w:val="wp-caption-text"/>
        <w:shd w:val="clear" w:color="auto" w:fill="FFFFFF"/>
        <w:spacing w:before="120" w:beforeAutospacing="0" w:after="0" w:afterAutospacing="0" w:line="255" w:lineRule="atLeast"/>
        <w:rPr>
          <w:rFonts w:asciiTheme="minorHAnsi" w:hAnsiTheme="minorHAnsi" w:cstheme="minorHAnsi"/>
          <w:i/>
          <w:iCs/>
          <w:color w:val="888888"/>
          <w:sz w:val="18"/>
          <w:szCs w:val="18"/>
        </w:rPr>
      </w:pPr>
      <w:r w:rsidRPr="003C4B95">
        <w:rPr>
          <w:rFonts w:asciiTheme="minorHAnsi" w:hAnsiTheme="minorHAnsi" w:cstheme="minorHAnsi"/>
          <w:i/>
          <w:iCs/>
          <w:color w:val="888888"/>
          <w:sz w:val="18"/>
          <w:szCs w:val="18"/>
        </w:rPr>
        <w:t>Source: Microsoft Licensing Guide for SQL 2014</w:t>
      </w:r>
    </w:p>
    <w:p w14:paraId="2641C83F" w14:textId="77777777" w:rsidR="000A6870" w:rsidRPr="00B4510C" w:rsidRDefault="000A6870" w:rsidP="000A6870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000000"/>
          <w:spacing w:val="-10"/>
          <w:sz w:val="18"/>
          <w:szCs w:val="18"/>
        </w:rPr>
      </w:pPr>
      <w:r w:rsidRPr="00B4510C">
        <w:rPr>
          <w:rFonts w:asciiTheme="minorHAnsi" w:hAnsiTheme="minorHAnsi" w:cstheme="minorHAnsi"/>
          <w:b/>
          <w:bCs/>
          <w:color w:val="000000"/>
          <w:spacing w:val="-10"/>
          <w:sz w:val="18"/>
          <w:szCs w:val="18"/>
          <w:highlight w:val="yellow"/>
        </w:rPr>
        <w:t>Licensing SQL Server 2014 under the </w:t>
      </w:r>
      <w:hyperlink r:id="rId9" w:history="1">
        <w:r w:rsidRPr="00B4510C">
          <w:rPr>
            <w:rStyle w:val="Hyperlink"/>
            <w:rFonts w:asciiTheme="minorHAnsi" w:hAnsiTheme="minorHAnsi" w:cstheme="minorHAnsi"/>
            <w:b/>
            <w:bCs/>
            <w:spacing w:val="-10"/>
            <w:sz w:val="18"/>
            <w:szCs w:val="18"/>
            <w:highlight w:val="yellow"/>
          </w:rPr>
          <w:t>Per Core model</w:t>
        </w:r>
      </w:hyperlink>
      <w:r w:rsidRPr="00B4510C">
        <w:rPr>
          <w:rFonts w:asciiTheme="minorHAnsi" w:hAnsiTheme="minorHAnsi" w:cstheme="minorHAnsi"/>
          <w:b/>
          <w:bCs/>
          <w:color w:val="000000"/>
          <w:spacing w:val="-10"/>
          <w:sz w:val="18"/>
          <w:szCs w:val="18"/>
          <w:highlight w:val="yellow"/>
        </w:rPr>
        <w:t>:</w:t>
      </w:r>
    </w:p>
    <w:p w14:paraId="44ABD966" w14:textId="77777777" w:rsidR="000A6870" w:rsidRPr="003C4B95" w:rsidRDefault="000A6870" w:rsidP="000A68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C4B95">
        <w:rPr>
          <w:rFonts w:cstheme="minorHAnsi"/>
          <w:color w:val="555555"/>
          <w:sz w:val="18"/>
          <w:szCs w:val="18"/>
        </w:rPr>
        <w:t>The Server which has more CPU Cores needs to be covered under the </w:t>
      </w:r>
      <w:hyperlink r:id="rId10" w:history="1">
        <w:r w:rsidRPr="003C4B95">
          <w:rPr>
            <w:rStyle w:val="Hyperlink"/>
            <w:rFonts w:cstheme="minorHAnsi"/>
            <w:sz w:val="18"/>
            <w:szCs w:val="18"/>
          </w:rPr>
          <w:t>Core based licensing method</w:t>
        </w:r>
      </w:hyperlink>
      <w:r w:rsidRPr="003C4B95">
        <w:rPr>
          <w:rFonts w:cstheme="minorHAnsi"/>
          <w:color w:val="555555"/>
          <w:sz w:val="18"/>
          <w:szCs w:val="18"/>
        </w:rPr>
        <w:t>.</w:t>
      </w:r>
    </w:p>
    <w:p w14:paraId="0FC006F5" w14:textId="77777777" w:rsidR="000A6870" w:rsidRPr="003C4B95" w:rsidRDefault="000A6870" w:rsidP="000A68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C4B95">
        <w:rPr>
          <w:rFonts w:cstheme="minorHAnsi"/>
          <w:color w:val="555555"/>
          <w:sz w:val="18"/>
          <w:szCs w:val="18"/>
        </w:rPr>
        <w:t xml:space="preserve">If your primary server has 6 </w:t>
      </w:r>
      <w:proofErr w:type="gramStart"/>
      <w:r w:rsidRPr="003C4B95">
        <w:rPr>
          <w:rFonts w:cstheme="minorHAnsi"/>
          <w:color w:val="555555"/>
          <w:sz w:val="18"/>
          <w:szCs w:val="18"/>
        </w:rPr>
        <w:t>core</w:t>
      </w:r>
      <w:proofErr w:type="gramEnd"/>
      <w:r w:rsidRPr="003C4B95">
        <w:rPr>
          <w:rFonts w:cstheme="minorHAnsi"/>
          <w:color w:val="555555"/>
          <w:sz w:val="18"/>
          <w:szCs w:val="18"/>
        </w:rPr>
        <w:t>, and the secondary passive site has 8, you need to buy 8 licenses with Software assurance to cover both the installations.</w:t>
      </w:r>
    </w:p>
    <w:p w14:paraId="54D7A3DE" w14:textId="77777777" w:rsidR="000A6870" w:rsidRPr="003C4B95" w:rsidRDefault="000A6870" w:rsidP="000A68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C4B95">
        <w:rPr>
          <w:rFonts w:cstheme="minorHAnsi"/>
          <w:color w:val="555555"/>
          <w:sz w:val="18"/>
          <w:szCs w:val="18"/>
        </w:rPr>
        <w:t>In case of a failover, the License is dynamically assigned to the secondary server under the “License Mobility Rights”</w:t>
      </w:r>
    </w:p>
    <w:p w14:paraId="389CC89C" w14:textId="77777777" w:rsidR="00DE5F0C" w:rsidRPr="00DE5F0C" w:rsidRDefault="000A6870" w:rsidP="00673A9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cstheme="minorHAnsi"/>
          <w:b/>
          <w:bCs/>
          <w:i/>
          <w:iCs/>
          <w:color w:val="555555"/>
          <w:sz w:val="18"/>
          <w:szCs w:val="18"/>
        </w:rPr>
      </w:pPr>
      <w:r w:rsidRPr="00DE5F0C">
        <w:rPr>
          <w:rFonts w:cstheme="minorHAnsi"/>
          <w:color w:val="555555"/>
          <w:sz w:val="18"/>
          <w:szCs w:val="18"/>
        </w:rPr>
        <w:t xml:space="preserve">In case of Always </w:t>
      </w:r>
      <w:proofErr w:type="gramStart"/>
      <w:r w:rsidRPr="00DE5F0C">
        <w:rPr>
          <w:rFonts w:cstheme="minorHAnsi"/>
          <w:color w:val="555555"/>
          <w:sz w:val="18"/>
          <w:szCs w:val="18"/>
        </w:rPr>
        <w:t>On</w:t>
      </w:r>
      <w:proofErr w:type="gramEnd"/>
      <w:r w:rsidRPr="00DE5F0C">
        <w:rPr>
          <w:rFonts w:cstheme="minorHAnsi"/>
          <w:color w:val="555555"/>
          <w:sz w:val="18"/>
          <w:szCs w:val="18"/>
        </w:rPr>
        <w:t xml:space="preserve"> Availability groups, all SQL Servers servicing active server workloads needs to be fully licensed.</w:t>
      </w:r>
    </w:p>
    <w:p w14:paraId="4341F3D4" w14:textId="63C28608" w:rsidR="000A6870" w:rsidRPr="00DE5F0C" w:rsidRDefault="000A6870" w:rsidP="00673A9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cstheme="minorHAnsi"/>
          <w:b/>
          <w:bCs/>
          <w:i/>
          <w:iCs/>
          <w:color w:val="555555"/>
          <w:sz w:val="18"/>
          <w:szCs w:val="18"/>
        </w:rPr>
      </w:pPr>
      <w:r w:rsidRPr="00DE5F0C">
        <w:rPr>
          <w:rStyle w:val="Strong"/>
          <w:rFonts w:cstheme="minorHAnsi"/>
          <w:i/>
          <w:iCs/>
          <w:color w:val="FF0000"/>
          <w:sz w:val="18"/>
          <w:szCs w:val="18"/>
        </w:rPr>
        <w:t xml:space="preserve">For Always </w:t>
      </w:r>
      <w:proofErr w:type="gramStart"/>
      <w:r w:rsidRPr="00DE5F0C">
        <w:rPr>
          <w:rStyle w:val="Strong"/>
          <w:rFonts w:cstheme="minorHAnsi"/>
          <w:i/>
          <w:iCs/>
          <w:color w:val="FF0000"/>
          <w:sz w:val="18"/>
          <w:szCs w:val="18"/>
        </w:rPr>
        <w:t>On</w:t>
      </w:r>
      <w:proofErr w:type="gramEnd"/>
      <w:r w:rsidRPr="00DE5F0C">
        <w:rPr>
          <w:rStyle w:val="Strong"/>
          <w:rFonts w:cstheme="minorHAnsi"/>
          <w:i/>
          <w:iCs/>
          <w:color w:val="FF0000"/>
          <w:sz w:val="18"/>
          <w:szCs w:val="18"/>
        </w:rPr>
        <w:t xml:space="preserve"> Availability Groups, if the Secondaries are using “Read Intent”, “Read-Only” or “Backup Server”, then they need to be fully licensed.</w:t>
      </w:r>
    </w:p>
    <w:p w14:paraId="1A39E175" w14:textId="77777777" w:rsidR="000A6870" w:rsidRPr="003C4B95" w:rsidRDefault="000A6870" w:rsidP="00FE03A6">
      <w:pPr>
        <w:rPr>
          <w:rFonts w:cstheme="minorHAnsi"/>
          <w:sz w:val="18"/>
          <w:szCs w:val="18"/>
        </w:rPr>
      </w:pPr>
      <w:bookmarkStart w:id="0" w:name="_GoBack"/>
      <w:bookmarkEnd w:id="0"/>
    </w:p>
    <w:sectPr w:rsidR="000A6870" w:rsidRPr="003C4B95" w:rsidSect="00B4510C">
      <w:pgSz w:w="11906" w:h="16838"/>
      <w:pgMar w:top="765" w:right="680" w:bottom="765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6B7"/>
    <w:multiLevelType w:val="multilevel"/>
    <w:tmpl w:val="77E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49D2"/>
    <w:multiLevelType w:val="multilevel"/>
    <w:tmpl w:val="82A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35774"/>
    <w:multiLevelType w:val="multilevel"/>
    <w:tmpl w:val="77D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239F9"/>
    <w:multiLevelType w:val="multilevel"/>
    <w:tmpl w:val="6E1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2603"/>
    <w:multiLevelType w:val="multilevel"/>
    <w:tmpl w:val="097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46DC0"/>
    <w:multiLevelType w:val="multilevel"/>
    <w:tmpl w:val="639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00C2E"/>
    <w:multiLevelType w:val="multilevel"/>
    <w:tmpl w:val="C4E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64676"/>
    <w:multiLevelType w:val="multilevel"/>
    <w:tmpl w:val="B96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92EBB"/>
    <w:multiLevelType w:val="hybridMultilevel"/>
    <w:tmpl w:val="D29A1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B0A33"/>
    <w:multiLevelType w:val="multilevel"/>
    <w:tmpl w:val="CDD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0692A"/>
    <w:multiLevelType w:val="multilevel"/>
    <w:tmpl w:val="82F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C0736"/>
    <w:multiLevelType w:val="multilevel"/>
    <w:tmpl w:val="B99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7128C"/>
    <w:multiLevelType w:val="hybridMultilevel"/>
    <w:tmpl w:val="6A62C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30ABB"/>
    <w:multiLevelType w:val="multilevel"/>
    <w:tmpl w:val="A504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95C87"/>
    <w:multiLevelType w:val="multilevel"/>
    <w:tmpl w:val="D44A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319B2"/>
    <w:multiLevelType w:val="multilevel"/>
    <w:tmpl w:val="E23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E02A5"/>
    <w:multiLevelType w:val="multilevel"/>
    <w:tmpl w:val="5168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D85A3F"/>
    <w:multiLevelType w:val="multilevel"/>
    <w:tmpl w:val="E77A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D6BB6"/>
    <w:multiLevelType w:val="multilevel"/>
    <w:tmpl w:val="FFCE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047DB"/>
    <w:multiLevelType w:val="hybridMultilevel"/>
    <w:tmpl w:val="BF5E2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B0FDB"/>
    <w:multiLevelType w:val="multilevel"/>
    <w:tmpl w:val="E11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D4811"/>
    <w:multiLevelType w:val="multilevel"/>
    <w:tmpl w:val="D9B8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27AF3"/>
    <w:multiLevelType w:val="multilevel"/>
    <w:tmpl w:val="1B3C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F6A22"/>
    <w:multiLevelType w:val="multilevel"/>
    <w:tmpl w:val="DDD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5136B"/>
    <w:multiLevelType w:val="multilevel"/>
    <w:tmpl w:val="4E5C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92497"/>
    <w:multiLevelType w:val="multilevel"/>
    <w:tmpl w:val="D31A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768F7"/>
    <w:multiLevelType w:val="multilevel"/>
    <w:tmpl w:val="1622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8"/>
  </w:num>
  <w:num w:numId="5">
    <w:abstractNumId w:val="24"/>
  </w:num>
  <w:num w:numId="6">
    <w:abstractNumId w:val="18"/>
  </w:num>
  <w:num w:numId="7">
    <w:abstractNumId w:val="21"/>
  </w:num>
  <w:num w:numId="8">
    <w:abstractNumId w:val="2"/>
  </w:num>
  <w:num w:numId="9">
    <w:abstractNumId w:val="12"/>
  </w:num>
  <w:num w:numId="10">
    <w:abstractNumId w:val="15"/>
  </w:num>
  <w:num w:numId="11">
    <w:abstractNumId w:val="20"/>
  </w:num>
  <w:num w:numId="12">
    <w:abstractNumId w:val="17"/>
  </w:num>
  <w:num w:numId="13">
    <w:abstractNumId w:val="19"/>
  </w:num>
  <w:num w:numId="14">
    <w:abstractNumId w:val="5"/>
  </w:num>
  <w:num w:numId="15">
    <w:abstractNumId w:val="0"/>
  </w:num>
  <w:num w:numId="16">
    <w:abstractNumId w:val="25"/>
  </w:num>
  <w:num w:numId="17">
    <w:abstractNumId w:val="1"/>
  </w:num>
  <w:num w:numId="18">
    <w:abstractNumId w:val="7"/>
  </w:num>
  <w:num w:numId="19">
    <w:abstractNumId w:val="14"/>
  </w:num>
  <w:num w:numId="20">
    <w:abstractNumId w:val="9"/>
  </w:num>
  <w:num w:numId="21">
    <w:abstractNumId w:val="6"/>
  </w:num>
  <w:num w:numId="22">
    <w:abstractNumId w:val="22"/>
  </w:num>
  <w:num w:numId="23">
    <w:abstractNumId w:val="10"/>
  </w:num>
  <w:num w:numId="24">
    <w:abstractNumId w:val="23"/>
  </w:num>
  <w:num w:numId="25">
    <w:abstractNumId w:val="13"/>
  </w:num>
  <w:num w:numId="26">
    <w:abstractNumId w:val="26"/>
  </w:num>
  <w:num w:numId="2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502FD"/>
    <w:rsid w:val="000751F3"/>
    <w:rsid w:val="00075B76"/>
    <w:rsid w:val="000A2EFE"/>
    <w:rsid w:val="000A6870"/>
    <w:rsid w:val="000B6378"/>
    <w:rsid w:val="000E1DAE"/>
    <w:rsid w:val="000F7A8B"/>
    <w:rsid w:val="001037E5"/>
    <w:rsid w:val="001308A3"/>
    <w:rsid w:val="00135F50"/>
    <w:rsid w:val="0014156D"/>
    <w:rsid w:val="00142101"/>
    <w:rsid w:val="0018264F"/>
    <w:rsid w:val="001C1833"/>
    <w:rsid w:val="001D72E5"/>
    <w:rsid w:val="001E0512"/>
    <w:rsid w:val="00235162"/>
    <w:rsid w:val="00235700"/>
    <w:rsid w:val="00275311"/>
    <w:rsid w:val="002830E7"/>
    <w:rsid w:val="002A360D"/>
    <w:rsid w:val="002D02B1"/>
    <w:rsid w:val="0031307F"/>
    <w:rsid w:val="00341D52"/>
    <w:rsid w:val="003438A3"/>
    <w:rsid w:val="003C4B95"/>
    <w:rsid w:val="003D4BE1"/>
    <w:rsid w:val="00422236"/>
    <w:rsid w:val="00434DAE"/>
    <w:rsid w:val="004538B3"/>
    <w:rsid w:val="00454BD9"/>
    <w:rsid w:val="00462D0A"/>
    <w:rsid w:val="004840E0"/>
    <w:rsid w:val="004860D7"/>
    <w:rsid w:val="004A4150"/>
    <w:rsid w:val="004C1D1B"/>
    <w:rsid w:val="004D2A12"/>
    <w:rsid w:val="004E7E95"/>
    <w:rsid w:val="004F1B1C"/>
    <w:rsid w:val="005054D8"/>
    <w:rsid w:val="00510365"/>
    <w:rsid w:val="005141B4"/>
    <w:rsid w:val="00520C1A"/>
    <w:rsid w:val="005300C0"/>
    <w:rsid w:val="00540A5C"/>
    <w:rsid w:val="00547B3E"/>
    <w:rsid w:val="00550552"/>
    <w:rsid w:val="00556D9E"/>
    <w:rsid w:val="00563E0F"/>
    <w:rsid w:val="005A54CB"/>
    <w:rsid w:val="005C550C"/>
    <w:rsid w:val="005D6B04"/>
    <w:rsid w:val="0062685C"/>
    <w:rsid w:val="00642F2A"/>
    <w:rsid w:val="00665844"/>
    <w:rsid w:val="00671314"/>
    <w:rsid w:val="00671612"/>
    <w:rsid w:val="00677F47"/>
    <w:rsid w:val="00694D05"/>
    <w:rsid w:val="006964B7"/>
    <w:rsid w:val="006C10A8"/>
    <w:rsid w:val="006F3F0D"/>
    <w:rsid w:val="00705125"/>
    <w:rsid w:val="00717CA8"/>
    <w:rsid w:val="00742284"/>
    <w:rsid w:val="00745794"/>
    <w:rsid w:val="00752CE4"/>
    <w:rsid w:val="007A21BE"/>
    <w:rsid w:val="007A5768"/>
    <w:rsid w:val="007D20F2"/>
    <w:rsid w:val="007F4271"/>
    <w:rsid w:val="00817F81"/>
    <w:rsid w:val="00833358"/>
    <w:rsid w:val="00853EA4"/>
    <w:rsid w:val="00880473"/>
    <w:rsid w:val="008949FA"/>
    <w:rsid w:val="008A74A2"/>
    <w:rsid w:val="008B5EEA"/>
    <w:rsid w:val="009100E2"/>
    <w:rsid w:val="00911705"/>
    <w:rsid w:val="009131F0"/>
    <w:rsid w:val="009250CD"/>
    <w:rsid w:val="00934882"/>
    <w:rsid w:val="00951452"/>
    <w:rsid w:val="009563FC"/>
    <w:rsid w:val="009C1451"/>
    <w:rsid w:val="009C5098"/>
    <w:rsid w:val="009D46A3"/>
    <w:rsid w:val="00A316C3"/>
    <w:rsid w:val="00A536AC"/>
    <w:rsid w:val="00A653AC"/>
    <w:rsid w:val="00A92B7E"/>
    <w:rsid w:val="00AC0EB9"/>
    <w:rsid w:val="00AC52D9"/>
    <w:rsid w:val="00AE1FB7"/>
    <w:rsid w:val="00B269DF"/>
    <w:rsid w:val="00B26E3E"/>
    <w:rsid w:val="00B415E6"/>
    <w:rsid w:val="00B4510C"/>
    <w:rsid w:val="00B830D1"/>
    <w:rsid w:val="00BA6589"/>
    <w:rsid w:val="00BC63CB"/>
    <w:rsid w:val="00BD3F69"/>
    <w:rsid w:val="00BD7F92"/>
    <w:rsid w:val="00BF01EA"/>
    <w:rsid w:val="00C25CE1"/>
    <w:rsid w:val="00C73E7D"/>
    <w:rsid w:val="00CD0528"/>
    <w:rsid w:val="00CD264E"/>
    <w:rsid w:val="00D26D15"/>
    <w:rsid w:val="00D75F33"/>
    <w:rsid w:val="00D76AEB"/>
    <w:rsid w:val="00DB400C"/>
    <w:rsid w:val="00DD020F"/>
    <w:rsid w:val="00DD06C4"/>
    <w:rsid w:val="00DD3C38"/>
    <w:rsid w:val="00DE5F0C"/>
    <w:rsid w:val="00DF0C10"/>
    <w:rsid w:val="00DF3BDD"/>
    <w:rsid w:val="00DF5786"/>
    <w:rsid w:val="00E1398A"/>
    <w:rsid w:val="00E263F5"/>
    <w:rsid w:val="00E343F1"/>
    <w:rsid w:val="00E3749B"/>
    <w:rsid w:val="00E5038D"/>
    <w:rsid w:val="00E96859"/>
    <w:rsid w:val="00EA1432"/>
    <w:rsid w:val="00EA3A98"/>
    <w:rsid w:val="00EA7773"/>
    <w:rsid w:val="00EE3688"/>
    <w:rsid w:val="00F217F5"/>
    <w:rsid w:val="00F47C25"/>
    <w:rsid w:val="00F54833"/>
    <w:rsid w:val="00F862A8"/>
    <w:rsid w:val="00FA45D3"/>
    <w:rsid w:val="00FA7A18"/>
    <w:rsid w:val="00FB5247"/>
    <w:rsid w:val="00FC7D8B"/>
    <w:rsid w:val="00FE03A6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  <w:style w:type="paragraph" w:customStyle="1" w:styleId="wp-caption-text">
    <w:name w:val="wp-caption-text"/>
    <w:basedOn w:val="Normal"/>
    <w:rsid w:val="000A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3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2077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617695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8573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9554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1608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5757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51715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80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ofit.com/sql-server-licensing-in-a-v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ofit.com/licensing-sql-server-2014-for-high-availability/" TargetMode="External"/><Relationship Id="rId10" Type="http://schemas.openxmlformats.org/officeDocument/2006/relationships/hyperlink" Target="https://www.faceofit.com/sql-server-2014-core-licen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ofit.com/sql-server-2014-core-licen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2</cp:revision>
  <dcterms:created xsi:type="dcterms:W3CDTF">2020-04-27T09:28:00Z</dcterms:created>
  <dcterms:modified xsi:type="dcterms:W3CDTF">2020-04-27T09:28:00Z</dcterms:modified>
</cp:coreProperties>
</file>