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48F50" w14:textId="6D9FF66A" w:rsidR="00EA3A98" w:rsidRDefault="00135F50" w:rsidP="00135F50">
      <w:pPr>
        <w:jc w:val="center"/>
        <w:rPr>
          <w:b/>
          <w:bCs/>
        </w:rPr>
      </w:pPr>
      <w:bookmarkStart w:id="0" w:name="_GoBack"/>
      <w:r w:rsidRPr="00135F50">
        <w:rPr>
          <w:b/>
          <w:bCs/>
          <w:highlight w:val="yellow"/>
        </w:rPr>
        <w:t>SQL Server 2016 Pre</w:t>
      </w:r>
      <w:r>
        <w:rPr>
          <w:b/>
          <w:bCs/>
          <w:highlight w:val="yellow"/>
        </w:rPr>
        <w:t>-</w:t>
      </w:r>
      <w:r w:rsidRPr="00135F50">
        <w:rPr>
          <w:b/>
          <w:bCs/>
          <w:highlight w:val="yellow"/>
        </w:rPr>
        <w:t xml:space="preserve">Upgrade Checklist </w:t>
      </w:r>
      <w:r w:rsidR="001E0512">
        <w:rPr>
          <w:b/>
          <w:bCs/>
          <w:highlight w:val="yellow"/>
        </w:rPr>
        <w:t>&amp;</w:t>
      </w:r>
      <w:r w:rsidRPr="00135F50">
        <w:rPr>
          <w:b/>
          <w:bCs/>
          <w:highlight w:val="yellow"/>
        </w:rPr>
        <w:t xml:space="preserve"> Unsupported Scenarios</w:t>
      </w:r>
    </w:p>
    <w:bookmarkEnd w:id="0"/>
    <w:p w14:paraId="59AF4BD5" w14:textId="78DEDC8D" w:rsidR="00135F50" w:rsidRDefault="00135F50" w:rsidP="00135F50">
      <w:pPr>
        <w:jc w:val="center"/>
        <w:rPr>
          <w:rFonts w:cstheme="minorHAnsi"/>
          <w:sz w:val="20"/>
          <w:szCs w:val="20"/>
        </w:rPr>
      </w:pPr>
      <w:r w:rsidRPr="00677F47">
        <w:rPr>
          <w:rFonts w:cstheme="minorHAnsi"/>
          <w:sz w:val="20"/>
          <w:szCs w:val="20"/>
        </w:rPr>
        <w:fldChar w:fldCharType="begin"/>
      </w:r>
      <w:r w:rsidRPr="00677F47">
        <w:rPr>
          <w:rFonts w:cstheme="minorHAnsi"/>
          <w:sz w:val="20"/>
          <w:szCs w:val="20"/>
        </w:rPr>
        <w:instrText xml:space="preserve"> HYPERLINK "https://www.gigxp.com/sql-server-2016-pre-upgrade-checklist-and-unsupported-scenarios/" </w:instrText>
      </w:r>
      <w:r w:rsidRPr="00677F47">
        <w:rPr>
          <w:rFonts w:cstheme="minorHAnsi"/>
          <w:sz w:val="20"/>
          <w:szCs w:val="20"/>
        </w:rPr>
        <w:fldChar w:fldCharType="separate"/>
      </w:r>
      <w:r w:rsidRPr="00677F47">
        <w:rPr>
          <w:rStyle w:val="Hyperlink"/>
          <w:rFonts w:cstheme="minorHAnsi"/>
          <w:sz w:val="20"/>
          <w:szCs w:val="20"/>
        </w:rPr>
        <w:t>https://www.gigxp.com/sql-server-2016-pre-upgrade-checklist-and-unsupported-scenarios/</w:t>
      </w:r>
      <w:r w:rsidRPr="00677F47">
        <w:rPr>
          <w:rFonts w:cstheme="minorHAnsi"/>
          <w:sz w:val="20"/>
          <w:szCs w:val="20"/>
        </w:rPr>
        <w:fldChar w:fldCharType="end"/>
      </w:r>
    </w:p>
    <w:p w14:paraId="4E64B3F6" w14:textId="77777777" w:rsidR="004A4150" w:rsidRPr="004A4150" w:rsidRDefault="004A4150" w:rsidP="004A4150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555555"/>
          <w:sz w:val="20"/>
          <w:szCs w:val="20"/>
        </w:rPr>
      </w:pPr>
      <w:r w:rsidRPr="004A4150">
        <w:rPr>
          <w:rFonts w:asciiTheme="minorHAnsi" w:hAnsiTheme="minorHAnsi" w:cstheme="minorHAnsi"/>
          <w:color w:val="555555"/>
          <w:sz w:val="20"/>
          <w:szCs w:val="20"/>
        </w:rPr>
        <w:t>Before upgrading to the newest version of SQL Server, you would ideally need to ensure that the transition is smooth. You can check out our SQL Server 2016 Pre-Upgrade Checklist to know more about the upgrade paths. Read along to know more.</w:t>
      </w:r>
    </w:p>
    <w:p w14:paraId="0858CD1F" w14:textId="77777777" w:rsidR="004A4150" w:rsidRPr="004A4150" w:rsidRDefault="004A4150" w:rsidP="004A4150">
      <w:pPr>
        <w:pStyle w:val="Heading2"/>
        <w:shd w:val="clear" w:color="auto" w:fill="FFFFFF"/>
        <w:spacing w:before="300" w:beforeAutospacing="0" w:after="150" w:afterAutospacing="0"/>
        <w:rPr>
          <w:rFonts w:asciiTheme="minorHAnsi" w:hAnsiTheme="minorHAnsi" w:cstheme="minorHAnsi"/>
          <w:color w:val="000000"/>
          <w:spacing w:val="-10"/>
          <w:sz w:val="20"/>
          <w:szCs w:val="20"/>
        </w:rPr>
      </w:pPr>
      <w:r w:rsidRPr="004A4150">
        <w:rPr>
          <w:rFonts w:asciiTheme="minorHAnsi" w:hAnsiTheme="minorHAnsi" w:cstheme="minorHAnsi"/>
          <w:color w:val="000000"/>
          <w:spacing w:val="-10"/>
          <w:sz w:val="20"/>
          <w:szCs w:val="20"/>
          <w:highlight w:val="yellow"/>
        </w:rPr>
        <w:t>SQL Server 2016 Pre-Upgrade Checklist</w:t>
      </w:r>
    </w:p>
    <w:p w14:paraId="51C1CF30" w14:textId="77777777" w:rsidR="004A4150" w:rsidRPr="004A4150" w:rsidRDefault="004A4150" w:rsidP="004A4150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555555"/>
          <w:sz w:val="20"/>
          <w:szCs w:val="20"/>
        </w:rPr>
      </w:pPr>
      <w:hyperlink r:id="rId5" w:history="1">
        <w:r w:rsidRPr="004A4150">
          <w:rPr>
            <w:rStyle w:val="Hyperlink"/>
            <w:rFonts w:asciiTheme="minorHAnsi" w:hAnsiTheme="minorHAnsi" w:cstheme="minorHAnsi"/>
            <w:sz w:val="20"/>
            <w:szCs w:val="20"/>
          </w:rPr>
          <w:t>SQL Server 2016</w:t>
        </w:r>
      </w:hyperlink>
      <w:r w:rsidRPr="004A4150">
        <w:rPr>
          <w:rFonts w:asciiTheme="minorHAnsi" w:hAnsiTheme="minorHAnsi" w:cstheme="minorHAnsi"/>
          <w:color w:val="555555"/>
          <w:sz w:val="20"/>
          <w:szCs w:val="20"/>
        </w:rPr>
        <w:t> introduced a significant number of </w:t>
      </w:r>
      <w:hyperlink r:id="rId6" w:history="1">
        <w:r w:rsidRPr="004A4150">
          <w:rPr>
            <w:rStyle w:val="Hyperlink"/>
            <w:rFonts w:asciiTheme="minorHAnsi" w:hAnsiTheme="minorHAnsi" w:cstheme="minorHAnsi"/>
            <w:sz w:val="20"/>
            <w:szCs w:val="20"/>
          </w:rPr>
          <w:t>enhancements</w:t>
        </w:r>
      </w:hyperlink>
      <w:r w:rsidRPr="004A4150">
        <w:rPr>
          <w:rFonts w:asciiTheme="minorHAnsi" w:hAnsiTheme="minorHAnsi" w:cstheme="minorHAnsi"/>
          <w:color w:val="555555"/>
          <w:sz w:val="20"/>
          <w:szCs w:val="20"/>
        </w:rPr>
        <w:t> and </w:t>
      </w:r>
      <w:hyperlink r:id="rId7" w:history="1">
        <w:r w:rsidRPr="004A4150">
          <w:rPr>
            <w:rStyle w:val="Hyperlink"/>
            <w:rFonts w:asciiTheme="minorHAnsi" w:hAnsiTheme="minorHAnsi" w:cstheme="minorHAnsi"/>
            <w:sz w:val="20"/>
            <w:szCs w:val="20"/>
          </w:rPr>
          <w:t>feature</w:t>
        </w:r>
      </w:hyperlink>
      <w:r w:rsidRPr="004A4150">
        <w:rPr>
          <w:rFonts w:asciiTheme="minorHAnsi" w:hAnsiTheme="minorHAnsi" w:cstheme="minorHAnsi"/>
          <w:color w:val="555555"/>
          <w:sz w:val="20"/>
          <w:szCs w:val="20"/>
        </w:rPr>
        <w:t> releases, which have prompted corporations to envision for an upgrade.</w:t>
      </w:r>
    </w:p>
    <w:p w14:paraId="133655BB" w14:textId="77777777" w:rsidR="004A4150" w:rsidRPr="004A4150" w:rsidRDefault="004A4150" w:rsidP="004A4150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555555"/>
          <w:sz w:val="20"/>
          <w:szCs w:val="20"/>
        </w:rPr>
      </w:pPr>
      <w:r w:rsidRPr="004A4150">
        <w:rPr>
          <w:rFonts w:asciiTheme="minorHAnsi" w:hAnsiTheme="minorHAnsi" w:cstheme="minorHAnsi"/>
          <w:color w:val="555555"/>
          <w:sz w:val="20"/>
          <w:szCs w:val="20"/>
        </w:rPr>
        <w:t>For a successful upgrade and migration path to SQL Server 2016, you need to ensure that you have followed all the SQL server 2016 pre-upgrade </w:t>
      </w:r>
      <w:hyperlink r:id="rId8" w:history="1">
        <w:r w:rsidRPr="004A4150">
          <w:rPr>
            <w:rStyle w:val="Hyperlink"/>
            <w:rFonts w:asciiTheme="minorHAnsi" w:hAnsiTheme="minorHAnsi" w:cstheme="minorHAnsi"/>
            <w:sz w:val="20"/>
            <w:szCs w:val="20"/>
          </w:rPr>
          <w:t>checklist</w:t>
        </w:r>
      </w:hyperlink>
      <w:r w:rsidRPr="004A4150">
        <w:rPr>
          <w:rFonts w:asciiTheme="minorHAnsi" w:hAnsiTheme="minorHAnsi" w:cstheme="minorHAnsi"/>
          <w:color w:val="555555"/>
          <w:sz w:val="20"/>
          <w:szCs w:val="20"/>
        </w:rPr>
        <w:t> and unsupported scenarios.</w:t>
      </w:r>
    </w:p>
    <w:p w14:paraId="21E7D673" w14:textId="77777777" w:rsidR="004A4150" w:rsidRPr="004A4150" w:rsidRDefault="004A4150" w:rsidP="004A4150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555555"/>
          <w:sz w:val="20"/>
          <w:szCs w:val="20"/>
        </w:rPr>
      </w:pPr>
      <w:r w:rsidRPr="004A4150">
        <w:rPr>
          <w:rFonts w:asciiTheme="minorHAnsi" w:hAnsiTheme="minorHAnsi" w:cstheme="minorHAnsi"/>
          <w:color w:val="555555"/>
          <w:sz w:val="20"/>
          <w:szCs w:val="20"/>
        </w:rPr>
        <w:t>Firstly, you need to make sure that your edition of SQL Server is eligible for a direct upgrade path to SQL Server 2016. You can upgrade to SQL Server 2016 from the following versions:</w:t>
      </w:r>
    </w:p>
    <w:p w14:paraId="561AC11C" w14:textId="77777777" w:rsidR="004A4150" w:rsidRPr="004A4150" w:rsidRDefault="004A4150" w:rsidP="004A4150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555555"/>
          <w:sz w:val="20"/>
          <w:szCs w:val="20"/>
        </w:rPr>
      </w:pPr>
      <w:r w:rsidRPr="004A4150">
        <w:rPr>
          <w:rFonts w:cstheme="minorHAnsi"/>
          <w:color w:val="555555"/>
          <w:sz w:val="20"/>
          <w:szCs w:val="20"/>
        </w:rPr>
        <w:t>SQL Server 2008</w:t>
      </w:r>
    </w:p>
    <w:p w14:paraId="5B6F2603" w14:textId="77777777" w:rsidR="004A4150" w:rsidRPr="004A4150" w:rsidRDefault="004A4150" w:rsidP="004A4150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555555"/>
          <w:sz w:val="20"/>
          <w:szCs w:val="20"/>
        </w:rPr>
      </w:pPr>
      <w:r w:rsidRPr="004A4150">
        <w:rPr>
          <w:rFonts w:cstheme="minorHAnsi"/>
          <w:color w:val="555555"/>
          <w:sz w:val="20"/>
          <w:szCs w:val="20"/>
        </w:rPr>
        <w:t>SQL Server 2008 R2</w:t>
      </w:r>
    </w:p>
    <w:p w14:paraId="52122EEF" w14:textId="77777777" w:rsidR="004A4150" w:rsidRPr="004A4150" w:rsidRDefault="004A4150" w:rsidP="004A4150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555555"/>
          <w:sz w:val="20"/>
          <w:szCs w:val="20"/>
        </w:rPr>
      </w:pPr>
      <w:r w:rsidRPr="004A4150">
        <w:rPr>
          <w:rFonts w:cstheme="minorHAnsi"/>
          <w:color w:val="555555"/>
          <w:sz w:val="20"/>
          <w:szCs w:val="20"/>
        </w:rPr>
        <w:t>SQL Server 2012</w:t>
      </w:r>
    </w:p>
    <w:p w14:paraId="1E9F6B9B" w14:textId="77777777" w:rsidR="004A4150" w:rsidRPr="004A4150" w:rsidRDefault="004A4150" w:rsidP="004A4150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555555"/>
          <w:sz w:val="20"/>
          <w:szCs w:val="20"/>
        </w:rPr>
      </w:pPr>
      <w:r w:rsidRPr="004A4150">
        <w:rPr>
          <w:rFonts w:cstheme="minorHAnsi"/>
          <w:color w:val="555555"/>
          <w:sz w:val="20"/>
          <w:szCs w:val="20"/>
        </w:rPr>
        <w:t>SQL Server 2014</w:t>
      </w:r>
    </w:p>
    <w:p w14:paraId="64EFD88C" w14:textId="77777777" w:rsidR="004A4150" w:rsidRPr="004A4150" w:rsidRDefault="004A4150" w:rsidP="004A4150">
      <w:pPr>
        <w:pStyle w:val="Heading3"/>
        <w:shd w:val="clear" w:color="auto" w:fill="FFFFFF"/>
        <w:spacing w:before="300" w:after="120"/>
        <w:rPr>
          <w:rFonts w:asciiTheme="minorHAnsi" w:hAnsiTheme="minorHAnsi" w:cstheme="minorHAnsi"/>
          <w:color w:val="000000"/>
          <w:spacing w:val="-10"/>
          <w:sz w:val="20"/>
          <w:szCs w:val="20"/>
        </w:rPr>
      </w:pPr>
      <w:r w:rsidRPr="004A4150">
        <w:rPr>
          <w:rFonts w:asciiTheme="minorHAnsi" w:hAnsiTheme="minorHAnsi" w:cstheme="minorHAnsi"/>
          <w:color w:val="000000"/>
          <w:spacing w:val="-10"/>
          <w:sz w:val="20"/>
          <w:szCs w:val="20"/>
          <w:highlight w:val="yellow"/>
        </w:rPr>
        <w:t>Check your SQL Server Edition to see if you have a direct upgrade path:</w:t>
      </w:r>
    </w:p>
    <w:p w14:paraId="7E432A53" w14:textId="77777777" w:rsidR="004A4150" w:rsidRDefault="004A4150" w:rsidP="004A4150">
      <w:pPr>
        <w:rPr>
          <w:rFonts w:cstheme="minorHAnsi"/>
          <w:sz w:val="20"/>
          <w:szCs w:val="20"/>
        </w:rPr>
      </w:pPr>
    </w:p>
    <w:p w14:paraId="46CA94D8" w14:textId="77777777" w:rsidR="004A4150" w:rsidRDefault="004A4150" w:rsidP="004A4150">
      <w:pPr>
        <w:rPr>
          <w:noProof/>
        </w:rPr>
      </w:pPr>
    </w:p>
    <w:p w14:paraId="18BFFF0B" w14:textId="64BD0A18" w:rsidR="00677F47" w:rsidRDefault="004A4150" w:rsidP="004A4150">
      <w:pPr>
        <w:rPr>
          <w:rFonts w:cstheme="minorHAnsi"/>
          <w:sz w:val="20"/>
          <w:szCs w:val="20"/>
        </w:rPr>
      </w:pPr>
      <w:r>
        <w:rPr>
          <w:noProof/>
        </w:rPr>
        <w:drawing>
          <wp:inline distT="0" distB="0" distL="0" distR="0" wp14:anchorId="4362545E" wp14:editId="244F0C38">
            <wp:extent cx="5952226" cy="28807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9259" cy="2908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91C93" w14:textId="010A15CA" w:rsidR="004A4150" w:rsidRDefault="004A4150" w:rsidP="004A4150">
      <w:pPr>
        <w:rPr>
          <w:rFonts w:cstheme="minorHAnsi"/>
          <w:sz w:val="20"/>
          <w:szCs w:val="20"/>
        </w:rPr>
      </w:pPr>
    </w:p>
    <w:p w14:paraId="7AF28673" w14:textId="451CE017" w:rsidR="004A4150" w:rsidRDefault="004A4150" w:rsidP="004A4150">
      <w:pPr>
        <w:rPr>
          <w:rFonts w:cstheme="minorHAnsi"/>
          <w:sz w:val="20"/>
          <w:szCs w:val="20"/>
        </w:rPr>
      </w:pPr>
    </w:p>
    <w:p w14:paraId="7FCDB089" w14:textId="10FA8457" w:rsidR="004A4150" w:rsidRDefault="004A4150" w:rsidP="004A4150">
      <w:pPr>
        <w:rPr>
          <w:rFonts w:cstheme="minorHAnsi"/>
          <w:sz w:val="20"/>
          <w:szCs w:val="20"/>
        </w:rPr>
      </w:pPr>
    </w:p>
    <w:p w14:paraId="75B3A7CA" w14:textId="0838D457" w:rsidR="004A4150" w:rsidRDefault="004A4150" w:rsidP="004A4150">
      <w:pPr>
        <w:rPr>
          <w:rFonts w:cstheme="minorHAnsi"/>
          <w:sz w:val="20"/>
          <w:szCs w:val="20"/>
        </w:rPr>
      </w:pPr>
    </w:p>
    <w:p w14:paraId="0736CD13" w14:textId="5C65FF9B" w:rsidR="004A4150" w:rsidRDefault="004A4150" w:rsidP="004A4150">
      <w:pPr>
        <w:rPr>
          <w:rFonts w:cstheme="minorHAnsi"/>
          <w:sz w:val="20"/>
          <w:szCs w:val="20"/>
        </w:rPr>
      </w:pPr>
    </w:p>
    <w:p w14:paraId="500BD5DE" w14:textId="71188973" w:rsidR="004A4150" w:rsidRDefault="004A4150" w:rsidP="004A4150">
      <w:pPr>
        <w:rPr>
          <w:rFonts w:cstheme="minorHAnsi"/>
          <w:sz w:val="20"/>
          <w:szCs w:val="20"/>
        </w:rPr>
      </w:pPr>
    </w:p>
    <w:p w14:paraId="55F0EBE1" w14:textId="1695FCB8" w:rsidR="004A4150" w:rsidRDefault="004A4150" w:rsidP="004A4150">
      <w:pPr>
        <w:rPr>
          <w:rFonts w:cstheme="minorHAnsi"/>
          <w:sz w:val="20"/>
          <w:szCs w:val="20"/>
        </w:rPr>
      </w:pPr>
    </w:p>
    <w:p w14:paraId="130CDA7D" w14:textId="5C0A26B6" w:rsidR="004A4150" w:rsidRDefault="004A4150" w:rsidP="004A4150">
      <w:pPr>
        <w:rPr>
          <w:rFonts w:cstheme="minorHAnsi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C7C0DE1" wp14:editId="3ABBE9BB">
            <wp:extent cx="5615705" cy="388189"/>
            <wp:effectExtent l="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7492" cy="423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8AE48" w14:textId="7B7D5914" w:rsidR="004A4150" w:rsidRDefault="004A4150" w:rsidP="004A4150">
      <w:pPr>
        <w:rPr>
          <w:rFonts w:cstheme="minorHAnsi"/>
          <w:sz w:val="20"/>
          <w:szCs w:val="20"/>
        </w:rPr>
      </w:pPr>
      <w:r>
        <w:rPr>
          <w:noProof/>
        </w:rPr>
        <w:drawing>
          <wp:inline distT="0" distB="0" distL="0" distR="0" wp14:anchorId="13F36ACD" wp14:editId="11CD0C69">
            <wp:extent cx="5546785" cy="3191531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0119" cy="3227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F3DD8" w14:textId="17C3895B" w:rsidR="004A4150" w:rsidRDefault="004A4150" w:rsidP="004A4150">
      <w:pPr>
        <w:rPr>
          <w:rFonts w:cstheme="minorHAnsi"/>
          <w:sz w:val="20"/>
          <w:szCs w:val="20"/>
        </w:rPr>
      </w:pPr>
      <w:r>
        <w:rPr>
          <w:noProof/>
        </w:rPr>
        <w:drawing>
          <wp:inline distT="0" distB="0" distL="0" distR="0" wp14:anchorId="43792068" wp14:editId="3747B3A9">
            <wp:extent cx="5546725" cy="38342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4486" cy="392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611AC" w14:textId="2BA2AF26" w:rsidR="004A4150" w:rsidRDefault="004A4150" w:rsidP="004A4150">
      <w:pPr>
        <w:rPr>
          <w:rFonts w:cstheme="minorHAnsi"/>
          <w:sz w:val="20"/>
          <w:szCs w:val="20"/>
        </w:rPr>
      </w:pPr>
      <w:r>
        <w:rPr>
          <w:noProof/>
        </w:rPr>
        <w:drawing>
          <wp:inline distT="0" distB="0" distL="0" distR="0" wp14:anchorId="5DCA359C" wp14:editId="3C5BDFBA">
            <wp:extent cx="5564037" cy="299200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3218" cy="3029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610B6" w14:textId="6F0B3BC5" w:rsidR="004A4150" w:rsidRDefault="004A4150" w:rsidP="004A4150">
      <w:pPr>
        <w:rPr>
          <w:rFonts w:cstheme="minorHAnsi"/>
          <w:sz w:val="20"/>
          <w:szCs w:val="20"/>
        </w:rPr>
      </w:pPr>
    </w:p>
    <w:p w14:paraId="1D00E32A" w14:textId="461779A1" w:rsidR="004A4150" w:rsidRDefault="004A4150" w:rsidP="004A4150">
      <w:pPr>
        <w:rPr>
          <w:rFonts w:cstheme="minorHAnsi"/>
          <w:sz w:val="20"/>
          <w:szCs w:val="20"/>
        </w:rPr>
      </w:pPr>
    </w:p>
    <w:p w14:paraId="0DA1F83F" w14:textId="19BD4BCD" w:rsidR="004A4150" w:rsidRDefault="004A4150" w:rsidP="004A4150">
      <w:pPr>
        <w:rPr>
          <w:rFonts w:cstheme="minorHAnsi"/>
          <w:sz w:val="20"/>
          <w:szCs w:val="20"/>
        </w:rPr>
      </w:pPr>
    </w:p>
    <w:p w14:paraId="0E11B2D2" w14:textId="5805D05E" w:rsidR="004A4150" w:rsidRDefault="004A4150" w:rsidP="004A4150">
      <w:pPr>
        <w:rPr>
          <w:rFonts w:cstheme="minorHAnsi"/>
          <w:sz w:val="20"/>
          <w:szCs w:val="20"/>
        </w:rPr>
      </w:pPr>
    </w:p>
    <w:p w14:paraId="72179B2F" w14:textId="0EA94FA4" w:rsidR="004A4150" w:rsidRDefault="004A4150" w:rsidP="004A4150">
      <w:pPr>
        <w:rPr>
          <w:rFonts w:cstheme="minorHAnsi"/>
          <w:sz w:val="20"/>
          <w:szCs w:val="20"/>
        </w:rPr>
      </w:pPr>
    </w:p>
    <w:p w14:paraId="1060F9E8" w14:textId="735FFD03" w:rsidR="004A4150" w:rsidRDefault="004A4150" w:rsidP="004A4150">
      <w:pPr>
        <w:rPr>
          <w:rFonts w:cstheme="minorHAnsi"/>
          <w:sz w:val="20"/>
          <w:szCs w:val="20"/>
        </w:rPr>
      </w:pPr>
    </w:p>
    <w:p w14:paraId="447A6416" w14:textId="265E6D8B" w:rsidR="004A4150" w:rsidRDefault="004A4150" w:rsidP="004A4150">
      <w:pPr>
        <w:rPr>
          <w:rFonts w:cstheme="minorHAnsi"/>
          <w:sz w:val="20"/>
          <w:szCs w:val="20"/>
        </w:rPr>
      </w:pPr>
    </w:p>
    <w:p w14:paraId="2EDFA382" w14:textId="19FA9377" w:rsidR="004A4150" w:rsidRDefault="004A4150" w:rsidP="004A4150">
      <w:pPr>
        <w:rPr>
          <w:rFonts w:cstheme="minorHAnsi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CF804E9" wp14:editId="4CA3F859">
            <wp:extent cx="5788324" cy="400122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1900" cy="410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63248" w14:textId="7AC580EB" w:rsidR="004A4150" w:rsidRDefault="004A4150" w:rsidP="004A4150">
      <w:pPr>
        <w:rPr>
          <w:rFonts w:cstheme="minorHAnsi"/>
          <w:sz w:val="20"/>
          <w:szCs w:val="20"/>
        </w:rPr>
      </w:pPr>
      <w:r>
        <w:rPr>
          <w:noProof/>
        </w:rPr>
        <w:drawing>
          <wp:inline distT="0" distB="0" distL="0" distR="0" wp14:anchorId="510A176B" wp14:editId="75B0BF6E">
            <wp:extent cx="5762445" cy="2266510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44463" cy="229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FB04F" w14:textId="1A467C23" w:rsidR="004A4150" w:rsidRDefault="004A4150" w:rsidP="004A4150">
      <w:pPr>
        <w:rPr>
          <w:rFonts w:cstheme="minorHAnsi"/>
          <w:sz w:val="20"/>
          <w:szCs w:val="20"/>
        </w:rPr>
      </w:pPr>
      <w:r>
        <w:rPr>
          <w:noProof/>
        </w:rPr>
        <w:drawing>
          <wp:inline distT="0" distB="0" distL="0" distR="0" wp14:anchorId="6BF51DFF" wp14:editId="00C7E5A1">
            <wp:extent cx="5417388" cy="297632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9997" cy="298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9E804" w14:textId="77777777" w:rsidR="004A4150" w:rsidRPr="00016F64" w:rsidRDefault="004A4150" w:rsidP="004A4150">
      <w:pPr>
        <w:pStyle w:val="Heading3"/>
        <w:shd w:val="clear" w:color="auto" w:fill="FFFFFF"/>
        <w:spacing w:before="300" w:after="120"/>
        <w:rPr>
          <w:rFonts w:asciiTheme="minorHAnsi" w:hAnsiTheme="minorHAnsi" w:cstheme="minorHAnsi"/>
          <w:b/>
          <w:bCs/>
          <w:color w:val="000000"/>
          <w:spacing w:val="-10"/>
          <w:sz w:val="20"/>
          <w:szCs w:val="20"/>
        </w:rPr>
      </w:pPr>
      <w:r w:rsidRPr="00016F64">
        <w:rPr>
          <w:rFonts w:asciiTheme="minorHAnsi" w:hAnsiTheme="minorHAnsi" w:cstheme="minorHAnsi"/>
          <w:b/>
          <w:bCs/>
          <w:color w:val="000000"/>
          <w:spacing w:val="-10"/>
          <w:sz w:val="20"/>
          <w:szCs w:val="20"/>
          <w:highlight w:val="yellow"/>
        </w:rPr>
        <w:t>Current Limitations and Unsupported Scenarios</w:t>
      </w:r>
    </w:p>
    <w:p w14:paraId="61B6A436" w14:textId="77777777" w:rsidR="004A4150" w:rsidRPr="004A4150" w:rsidRDefault="004A4150" w:rsidP="004A4150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555555"/>
          <w:sz w:val="20"/>
          <w:szCs w:val="20"/>
        </w:rPr>
      </w:pPr>
      <w:r w:rsidRPr="004A4150">
        <w:rPr>
          <w:rFonts w:cstheme="minorHAnsi"/>
          <w:color w:val="555555"/>
          <w:sz w:val="20"/>
          <w:szCs w:val="20"/>
        </w:rPr>
        <w:t>All the SQL Server components must have the same version numbers. You cannot use different </w:t>
      </w:r>
      <w:hyperlink r:id="rId15" w:history="1">
        <w:r w:rsidRPr="004A4150">
          <w:rPr>
            <w:rStyle w:val="Hyperlink"/>
            <w:rFonts w:cstheme="minorHAnsi"/>
            <w:sz w:val="20"/>
            <w:szCs w:val="20"/>
          </w:rPr>
          <w:t>build numbers</w:t>
        </w:r>
      </w:hyperlink>
      <w:r w:rsidRPr="004A4150">
        <w:rPr>
          <w:rFonts w:cstheme="minorHAnsi"/>
          <w:color w:val="555555"/>
          <w:sz w:val="20"/>
          <w:szCs w:val="20"/>
        </w:rPr>
        <w:t> for Reporting, Analysis, Integration or Database Services. They all need to have the same version numbers.</w:t>
      </w:r>
    </w:p>
    <w:p w14:paraId="36C6A5C0" w14:textId="77777777" w:rsidR="004A4150" w:rsidRPr="004A4150" w:rsidRDefault="004A4150" w:rsidP="004A4150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555555"/>
          <w:sz w:val="20"/>
          <w:szCs w:val="20"/>
        </w:rPr>
      </w:pPr>
      <w:r w:rsidRPr="004A4150">
        <w:rPr>
          <w:rFonts w:cstheme="minorHAnsi"/>
          <w:color w:val="555555"/>
          <w:sz w:val="20"/>
          <w:szCs w:val="20"/>
        </w:rPr>
        <w:t xml:space="preserve">Upgrade from 32 Bit to 64 Bit in-place upgrade is not supported. You need to do a side by side upgrade to a </w:t>
      </w:r>
      <w:proofErr w:type="gramStart"/>
      <w:r w:rsidRPr="004A4150">
        <w:rPr>
          <w:rFonts w:cstheme="minorHAnsi"/>
          <w:color w:val="555555"/>
          <w:sz w:val="20"/>
          <w:szCs w:val="20"/>
        </w:rPr>
        <w:t>64 Bit</w:t>
      </w:r>
      <w:proofErr w:type="gramEnd"/>
      <w:r w:rsidRPr="004A4150">
        <w:rPr>
          <w:rFonts w:cstheme="minorHAnsi"/>
          <w:color w:val="555555"/>
          <w:sz w:val="20"/>
          <w:szCs w:val="20"/>
        </w:rPr>
        <w:t xml:space="preserve"> instance since both backup-restore or detach-attach is fully supported.</w:t>
      </w:r>
    </w:p>
    <w:p w14:paraId="7DD1936F" w14:textId="77777777" w:rsidR="004A4150" w:rsidRPr="004A4150" w:rsidRDefault="004A4150" w:rsidP="004A4150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555555"/>
          <w:sz w:val="20"/>
          <w:szCs w:val="20"/>
        </w:rPr>
      </w:pPr>
      <w:r w:rsidRPr="004A4150">
        <w:rPr>
          <w:rFonts w:cstheme="minorHAnsi"/>
          <w:color w:val="555555"/>
          <w:sz w:val="20"/>
          <w:szCs w:val="20"/>
        </w:rPr>
        <w:t>Cannot add additional feature during the in-place upgrade process. Newer features can only be added after the upgrade is complete.</w:t>
      </w:r>
    </w:p>
    <w:p w14:paraId="6C11FD9C" w14:textId="77777777" w:rsidR="004A4150" w:rsidRPr="004A4150" w:rsidRDefault="004A4150" w:rsidP="004A4150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555555"/>
          <w:sz w:val="20"/>
          <w:szCs w:val="20"/>
        </w:rPr>
      </w:pPr>
      <w:r w:rsidRPr="004A4150">
        <w:rPr>
          <w:rFonts w:cstheme="minorHAnsi"/>
          <w:color w:val="555555"/>
          <w:sz w:val="20"/>
          <w:szCs w:val="20"/>
        </w:rPr>
        <w:t>32-bit Fail-over Clusters are not supported for a direct upgrade to SQL 2016.</w:t>
      </w:r>
    </w:p>
    <w:p w14:paraId="093B4648" w14:textId="77777777" w:rsidR="004A4150" w:rsidRPr="004A4150" w:rsidRDefault="004A4150" w:rsidP="004A4150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555555"/>
          <w:sz w:val="20"/>
          <w:szCs w:val="20"/>
        </w:rPr>
      </w:pPr>
      <w:r w:rsidRPr="004A4150">
        <w:rPr>
          <w:rFonts w:cstheme="minorHAnsi"/>
          <w:color w:val="555555"/>
          <w:sz w:val="20"/>
          <w:szCs w:val="20"/>
        </w:rPr>
        <w:t>Evaluation versions need to be upgraded to a </w:t>
      </w:r>
      <w:hyperlink r:id="rId16" w:history="1">
        <w:r w:rsidRPr="004A4150">
          <w:rPr>
            <w:rStyle w:val="Hyperlink"/>
            <w:rFonts w:cstheme="minorHAnsi"/>
            <w:sz w:val="20"/>
            <w:szCs w:val="20"/>
          </w:rPr>
          <w:t>licensed </w:t>
        </w:r>
      </w:hyperlink>
      <w:r w:rsidRPr="004A4150">
        <w:rPr>
          <w:rFonts w:cstheme="minorHAnsi"/>
          <w:color w:val="555555"/>
          <w:sz w:val="20"/>
          <w:szCs w:val="20"/>
        </w:rPr>
        <w:t>edition before upgrading to SQL Server 2016.</w:t>
      </w:r>
    </w:p>
    <w:p w14:paraId="4203EE54" w14:textId="77777777" w:rsidR="004A4150" w:rsidRPr="004A4150" w:rsidRDefault="004A4150" w:rsidP="004A4150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555555"/>
          <w:sz w:val="20"/>
          <w:szCs w:val="20"/>
        </w:rPr>
      </w:pPr>
      <w:r w:rsidRPr="004A4150">
        <w:rPr>
          <w:rFonts w:cstheme="minorHAnsi"/>
          <w:color w:val="555555"/>
          <w:sz w:val="20"/>
          <w:szCs w:val="20"/>
        </w:rPr>
        <w:t>Evaluation versions cannot be upgraded to a clustered installation. Only standalone versions are supported.</w:t>
      </w:r>
    </w:p>
    <w:p w14:paraId="2BDAF2DF" w14:textId="77777777" w:rsidR="004A4150" w:rsidRPr="004A4150" w:rsidRDefault="004A4150" w:rsidP="004A4150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555555"/>
          <w:sz w:val="20"/>
          <w:szCs w:val="20"/>
        </w:rPr>
      </w:pPr>
      <w:r w:rsidRPr="004A4150">
        <w:rPr>
          <w:rFonts w:cstheme="minorHAnsi"/>
          <w:color w:val="555555"/>
          <w:sz w:val="20"/>
          <w:szCs w:val="20"/>
        </w:rPr>
        <w:t xml:space="preserve">64 Bit Editions of earlier versions can only be upgraded to a </w:t>
      </w:r>
      <w:proofErr w:type="gramStart"/>
      <w:r w:rsidRPr="004A4150">
        <w:rPr>
          <w:rFonts w:cstheme="minorHAnsi"/>
          <w:color w:val="555555"/>
          <w:sz w:val="20"/>
          <w:szCs w:val="20"/>
        </w:rPr>
        <w:t>64 bit</w:t>
      </w:r>
      <w:proofErr w:type="gramEnd"/>
      <w:r w:rsidRPr="004A4150">
        <w:rPr>
          <w:rFonts w:cstheme="minorHAnsi"/>
          <w:color w:val="555555"/>
          <w:sz w:val="20"/>
          <w:szCs w:val="20"/>
        </w:rPr>
        <w:t xml:space="preserve"> SQL Server 2016 Edition.</w:t>
      </w:r>
    </w:p>
    <w:p w14:paraId="09A40D23" w14:textId="77777777" w:rsidR="004A4150" w:rsidRPr="004A4150" w:rsidRDefault="004A4150" w:rsidP="004A4150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555555"/>
          <w:sz w:val="20"/>
          <w:szCs w:val="20"/>
        </w:rPr>
      </w:pPr>
      <w:r w:rsidRPr="004A4150">
        <w:rPr>
          <w:rFonts w:cstheme="minorHAnsi"/>
          <w:color w:val="555555"/>
          <w:sz w:val="20"/>
          <w:szCs w:val="20"/>
        </w:rPr>
        <w:t>SQL Server 2005 can only be restored with compatibility level 100 and above.</w:t>
      </w:r>
    </w:p>
    <w:p w14:paraId="7598AD10" w14:textId="77777777" w:rsidR="004A4150" w:rsidRPr="004A4150" w:rsidRDefault="004A4150" w:rsidP="004A4150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555555"/>
          <w:sz w:val="20"/>
          <w:szCs w:val="20"/>
        </w:rPr>
      </w:pPr>
      <w:r w:rsidRPr="004A4150">
        <w:rPr>
          <w:rFonts w:cstheme="minorHAnsi"/>
          <w:color w:val="555555"/>
          <w:sz w:val="20"/>
          <w:szCs w:val="20"/>
        </w:rPr>
        <w:t>Changing of Editions of </w:t>
      </w:r>
      <w:hyperlink r:id="rId17" w:history="1">
        <w:r w:rsidRPr="004A4150">
          <w:rPr>
            <w:rStyle w:val="Hyperlink"/>
            <w:rFonts w:cstheme="minorHAnsi"/>
            <w:sz w:val="20"/>
            <w:szCs w:val="20"/>
          </w:rPr>
          <w:t>SQL Clusters</w:t>
        </w:r>
      </w:hyperlink>
      <w:r w:rsidRPr="004A4150">
        <w:rPr>
          <w:rFonts w:cstheme="minorHAnsi"/>
          <w:color w:val="555555"/>
          <w:sz w:val="20"/>
          <w:szCs w:val="20"/>
        </w:rPr>
        <w:t> in 2016 is not supported.</w:t>
      </w:r>
    </w:p>
    <w:sectPr w:rsidR="004A4150" w:rsidRPr="004A4150" w:rsidSect="006964B7">
      <w:pgSz w:w="11906" w:h="16838"/>
      <w:pgMar w:top="1134" w:right="680" w:bottom="1134" w:left="680" w:header="709" w:footer="709" w:gutter="0"/>
      <w:pgBorders w:offsetFrom="page">
        <w:top w:val="double" w:sz="4" w:space="24" w:color="C00000"/>
        <w:left w:val="double" w:sz="4" w:space="24" w:color="C00000"/>
        <w:bottom w:val="double" w:sz="4" w:space="24" w:color="C00000"/>
        <w:right w:val="double" w:sz="4" w:space="24" w:color="C0000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14930"/>
    <w:multiLevelType w:val="multilevel"/>
    <w:tmpl w:val="196EE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210A25"/>
    <w:multiLevelType w:val="multilevel"/>
    <w:tmpl w:val="A0E850D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3F074B"/>
    <w:multiLevelType w:val="multilevel"/>
    <w:tmpl w:val="D4A2F2A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5325A1"/>
    <w:multiLevelType w:val="multilevel"/>
    <w:tmpl w:val="ABDA4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457F69"/>
    <w:multiLevelType w:val="multilevel"/>
    <w:tmpl w:val="53CE7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573A5F"/>
    <w:multiLevelType w:val="multilevel"/>
    <w:tmpl w:val="FA3EA7D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640D12"/>
    <w:multiLevelType w:val="hybridMultilevel"/>
    <w:tmpl w:val="4C780E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2C65BE"/>
    <w:multiLevelType w:val="hybridMultilevel"/>
    <w:tmpl w:val="EDDA42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82493A"/>
    <w:multiLevelType w:val="hybridMultilevel"/>
    <w:tmpl w:val="109C9B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FC7092"/>
    <w:multiLevelType w:val="multilevel"/>
    <w:tmpl w:val="B63EE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516A93"/>
    <w:multiLevelType w:val="multilevel"/>
    <w:tmpl w:val="CEC2689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D9F5AF6"/>
    <w:multiLevelType w:val="multilevel"/>
    <w:tmpl w:val="9CD87D1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F34F6A"/>
    <w:multiLevelType w:val="multilevel"/>
    <w:tmpl w:val="A1C6D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2F5926"/>
    <w:multiLevelType w:val="multilevel"/>
    <w:tmpl w:val="BF4EA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FA17C7E"/>
    <w:multiLevelType w:val="multilevel"/>
    <w:tmpl w:val="79948BF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2287166"/>
    <w:multiLevelType w:val="multilevel"/>
    <w:tmpl w:val="63843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882123"/>
    <w:multiLevelType w:val="multilevel"/>
    <w:tmpl w:val="69C8B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asciiTheme="minorHAnsi" w:eastAsia="Times New Roman" w:hAnsiTheme="minorHAnsi" w:cstheme="minorHAnsi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8461F04"/>
    <w:multiLevelType w:val="hybridMultilevel"/>
    <w:tmpl w:val="48F080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125466"/>
    <w:multiLevelType w:val="multilevel"/>
    <w:tmpl w:val="07B04B1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BF90153"/>
    <w:multiLevelType w:val="multilevel"/>
    <w:tmpl w:val="E3BC233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D0763F1"/>
    <w:multiLevelType w:val="multilevel"/>
    <w:tmpl w:val="B6881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DAC3377"/>
    <w:multiLevelType w:val="multilevel"/>
    <w:tmpl w:val="15D262A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DFA6BD9"/>
    <w:multiLevelType w:val="multilevel"/>
    <w:tmpl w:val="7DE8C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E7E2229"/>
    <w:multiLevelType w:val="multilevel"/>
    <w:tmpl w:val="796CC2F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3BD7672"/>
    <w:multiLevelType w:val="multilevel"/>
    <w:tmpl w:val="A3544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7B651B2"/>
    <w:multiLevelType w:val="multilevel"/>
    <w:tmpl w:val="B9301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8A347AC"/>
    <w:multiLevelType w:val="multilevel"/>
    <w:tmpl w:val="C7941F1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0636AA"/>
    <w:multiLevelType w:val="hybridMultilevel"/>
    <w:tmpl w:val="C5B400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E24B01"/>
    <w:multiLevelType w:val="multilevel"/>
    <w:tmpl w:val="36F8367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46458AA"/>
    <w:multiLevelType w:val="multilevel"/>
    <w:tmpl w:val="84981CB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4CC6E59"/>
    <w:multiLevelType w:val="hybridMultilevel"/>
    <w:tmpl w:val="A36E4D60"/>
    <w:lvl w:ilvl="0" w:tplc="2C7624C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6A7200"/>
    <w:multiLevelType w:val="multilevel"/>
    <w:tmpl w:val="71B47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F4E0E45"/>
    <w:multiLevelType w:val="multilevel"/>
    <w:tmpl w:val="2C729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3AD28BC"/>
    <w:multiLevelType w:val="multilevel"/>
    <w:tmpl w:val="F508C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6481BD0"/>
    <w:multiLevelType w:val="multilevel"/>
    <w:tmpl w:val="7486949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B8F0B8C"/>
    <w:multiLevelType w:val="multilevel"/>
    <w:tmpl w:val="77EE6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3694A3D"/>
    <w:multiLevelType w:val="hybridMultilevel"/>
    <w:tmpl w:val="82C647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69616E"/>
    <w:multiLevelType w:val="multilevel"/>
    <w:tmpl w:val="228250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6C40165"/>
    <w:multiLevelType w:val="multilevel"/>
    <w:tmpl w:val="6812E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8070105"/>
    <w:multiLevelType w:val="multilevel"/>
    <w:tmpl w:val="8D9AEC3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DEB0213"/>
    <w:multiLevelType w:val="multilevel"/>
    <w:tmpl w:val="82EE8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EA43D47"/>
    <w:multiLevelType w:val="multilevel"/>
    <w:tmpl w:val="0D90A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EB70B09"/>
    <w:multiLevelType w:val="hybridMultilevel"/>
    <w:tmpl w:val="F4B2D3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16"/>
  </w:num>
  <w:num w:numId="4">
    <w:abstractNumId w:val="41"/>
  </w:num>
  <w:num w:numId="5">
    <w:abstractNumId w:val="18"/>
  </w:num>
  <w:num w:numId="6">
    <w:abstractNumId w:val="35"/>
  </w:num>
  <w:num w:numId="7">
    <w:abstractNumId w:val="37"/>
  </w:num>
  <w:num w:numId="8">
    <w:abstractNumId w:val="38"/>
  </w:num>
  <w:num w:numId="9">
    <w:abstractNumId w:val="23"/>
  </w:num>
  <w:num w:numId="10">
    <w:abstractNumId w:val="40"/>
  </w:num>
  <w:num w:numId="11">
    <w:abstractNumId w:val="2"/>
  </w:num>
  <w:num w:numId="12">
    <w:abstractNumId w:val="32"/>
  </w:num>
  <w:num w:numId="13">
    <w:abstractNumId w:val="21"/>
  </w:num>
  <w:num w:numId="14">
    <w:abstractNumId w:val="3"/>
  </w:num>
  <w:num w:numId="15">
    <w:abstractNumId w:val="29"/>
  </w:num>
  <w:num w:numId="16">
    <w:abstractNumId w:val="19"/>
  </w:num>
  <w:num w:numId="17">
    <w:abstractNumId w:val="11"/>
  </w:num>
  <w:num w:numId="18">
    <w:abstractNumId w:val="13"/>
  </w:num>
  <w:num w:numId="19">
    <w:abstractNumId w:val="10"/>
  </w:num>
  <w:num w:numId="20">
    <w:abstractNumId w:val="39"/>
  </w:num>
  <w:num w:numId="21">
    <w:abstractNumId w:val="26"/>
  </w:num>
  <w:num w:numId="22">
    <w:abstractNumId w:val="14"/>
  </w:num>
  <w:num w:numId="23">
    <w:abstractNumId w:val="28"/>
  </w:num>
  <w:num w:numId="24">
    <w:abstractNumId w:val="1"/>
  </w:num>
  <w:num w:numId="25">
    <w:abstractNumId w:val="34"/>
  </w:num>
  <w:num w:numId="26">
    <w:abstractNumId w:val="5"/>
  </w:num>
  <w:num w:numId="27">
    <w:abstractNumId w:val="8"/>
  </w:num>
  <w:num w:numId="28">
    <w:abstractNumId w:val="30"/>
  </w:num>
  <w:num w:numId="29">
    <w:abstractNumId w:val="22"/>
  </w:num>
  <w:num w:numId="30">
    <w:abstractNumId w:val="12"/>
  </w:num>
  <w:num w:numId="31">
    <w:abstractNumId w:val="24"/>
  </w:num>
  <w:num w:numId="32">
    <w:abstractNumId w:val="31"/>
  </w:num>
  <w:num w:numId="33">
    <w:abstractNumId w:val="4"/>
  </w:num>
  <w:num w:numId="34">
    <w:abstractNumId w:val="33"/>
  </w:num>
  <w:num w:numId="35">
    <w:abstractNumId w:val="36"/>
  </w:num>
  <w:num w:numId="36">
    <w:abstractNumId w:val="6"/>
  </w:num>
  <w:num w:numId="37">
    <w:abstractNumId w:val="42"/>
  </w:num>
  <w:num w:numId="38">
    <w:abstractNumId w:val="7"/>
  </w:num>
  <w:num w:numId="39">
    <w:abstractNumId w:val="27"/>
  </w:num>
  <w:num w:numId="40">
    <w:abstractNumId w:val="17"/>
  </w:num>
  <w:num w:numId="41">
    <w:abstractNumId w:val="25"/>
  </w:num>
  <w:num w:numId="42">
    <w:abstractNumId w:val="15"/>
  </w:num>
  <w:num w:numId="4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7F5"/>
    <w:rsid w:val="00016F64"/>
    <w:rsid w:val="00021854"/>
    <w:rsid w:val="000751F3"/>
    <w:rsid w:val="00075B76"/>
    <w:rsid w:val="000A2EFE"/>
    <w:rsid w:val="000B6378"/>
    <w:rsid w:val="000E1DAE"/>
    <w:rsid w:val="000F7A8B"/>
    <w:rsid w:val="001037E5"/>
    <w:rsid w:val="00135F50"/>
    <w:rsid w:val="0014156D"/>
    <w:rsid w:val="00142101"/>
    <w:rsid w:val="0018264F"/>
    <w:rsid w:val="001C1833"/>
    <w:rsid w:val="001E0512"/>
    <w:rsid w:val="00235162"/>
    <w:rsid w:val="00235700"/>
    <w:rsid w:val="00275311"/>
    <w:rsid w:val="002A360D"/>
    <w:rsid w:val="003438A3"/>
    <w:rsid w:val="003D4BE1"/>
    <w:rsid w:val="00454BD9"/>
    <w:rsid w:val="004840E0"/>
    <w:rsid w:val="004860D7"/>
    <w:rsid w:val="004A4150"/>
    <w:rsid w:val="004C1D1B"/>
    <w:rsid w:val="004D2A12"/>
    <w:rsid w:val="004E7E95"/>
    <w:rsid w:val="004F1B1C"/>
    <w:rsid w:val="00510365"/>
    <w:rsid w:val="005141B4"/>
    <w:rsid w:val="00520C1A"/>
    <w:rsid w:val="005300C0"/>
    <w:rsid w:val="00540A5C"/>
    <w:rsid w:val="00547B3E"/>
    <w:rsid w:val="00550552"/>
    <w:rsid w:val="00556D9E"/>
    <w:rsid w:val="005A54CB"/>
    <w:rsid w:val="005C550C"/>
    <w:rsid w:val="0062685C"/>
    <w:rsid w:val="00665844"/>
    <w:rsid w:val="00671314"/>
    <w:rsid w:val="00677F47"/>
    <w:rsid w:val="006964B7"/>
    <w:rsid w:val="006C10A8"/>
    <w:rsid w:val="006F3F0D"/>
    <w:rsid w:val="00705125"/>
    <w:rsid w:val="00717CA8"/>
    <w:rsid w:val="00742284"/>
    <w:rsid w:val="00745794"/>
    <w:rsid w:val="00752CE4"/>
    <w:rsid w:val="007A5768"/>
    <w:rsid w:val="007D20F2"/>
    <w:rsid w:val="007F4271"/>
    <w:rsid w:val="00833358"/>
    <w:rsid w:val="00853EA4"/>
    <w:rsid w:val="00880473"/>
    <w:rsid w:val="008949FA"/>
    <w:rsid w:val="008A74A2"/>
    <w:rsid w:val="009100E2"/>
    <w:rsid w:val="00911705"/>
    <w:rsid w:val="009131F0"/>
    <w:rsid w:val="009250CD"/>
    <w:rsid w:val="009563FC"/>
    <w:rsid w:val="009C5098"/>
    <w:rsid w:val="009D46A3"/>
    <w:rsid w:val="00A316C3"/>
    <w:rsid w:val="00A536AC"/>
    <w:rsid w:val="00A653AC"/>
    <w:rsid w:val="00A92B7E"/>
    <w:rsid w:val="00AC0EB9"/>
    <w:rsid w:val="00AE1FB7"/>
    <w:rsid w:val="00B269DF"/>
    <w:rsid w:val="00B26E3E"/>
    <w:rsid w:val="00B415E6"/>
    <w:rsid w:val="00B830D1"/>
    <w:rsid w:val="00BC63CB"/>
    <w:rsid w:val="00BD7F92"/>
    <w:rsid w:val="00BF01EA"/>
    <w:rsid w:val="00C25CE1"/>
    <w:rsid w:val="00CD0528"/>
    <w:rsid w:val="00CD264E"/>
    <w:rsid w:val="00D75F33"/>
    <w:rsid w:val="00D76AEB"/>
    <w:rsid w:val="00DD06C4"/>
    <w:rsid w:val="00DD3C38"/>
    <w:rsid w:val="00DF0C10"/>
    <w:rsid w:val="00DF3BDD"/>
    <w:rsid w:val="00DF5786"/>
    <w:rsid w:val="00E263F5"/>
    <w:rsid w:val="00E343F1"/>
    <w:rsid w:val="00E3749B"/>
    <w:rsid w:val="00E5038D"/>
    <w:rsid w:val="00E96859"/>
    <w:rsid w:val="00EA1432"/>
    <w:rsid w:val="00EA3A98"/>
    <w:rsid w:val="00EA7773"/>
    <w:rsid w:val="00EE3688"/>
    <w:rsid w:val="00F217F5"/>
    <w:rsid w:val="00F47C25"/>
    <w:rsid w:val="00F54833"/>
    <w:rsid w:val="00F862A8"/>
    <w:rsid w:val="00FA7A18"/>
    <w:rsid w:val="00FC7D8B"/>
    <w:rsid w:val="00FE6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29EE4"/>
  <w15:chartTrackingRefBased/>
  <w15:docId w15:val="{B22D1C27-52DA-4050-9DC6-90A23820F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751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0751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41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3A9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3A9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217F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653A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E7E9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751F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0751F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ez-toc-section">
    <w:name w:val="ez-toc-section"/>
    <w:basedOn w:val="DefaultParagraphFont"/>
    <w:rsid w:val="000751F3"/>
  </w:style>
  <w:style w:type="paragraph" w:styleId="NormalWeb">
    <w:name w:val="Normal (Web)"/>
    <w:basedOn w:val="Normal"/>
    <w:uiPriority w:val="99"/>
    <w:unhideWhenUsed/>
    <w:rsid w:val="000751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0751F3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3A9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3A9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415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title">
    <w:name w:val="title"/>
    <w:basedOn w:val="Normal"/>
    <w:rsid w:val="004A41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903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1312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10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5125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3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2341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90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05526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igxp.com/sql-server-failover-cluster-checklist/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igxp.com/sql-server-2016-security-features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www.gigxp.com/sql-server-failover-clustering-high-availability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igxp.com/sql-server-2014-core-licensing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igxp.com/sql-server-2016-new-features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gigxp.com/new-sql-server-2016-installation-features-walk-through/" TargetMode="External"/><Relationship Id="rId15" Type="http://schemas.openxmlformats.org/officeDocument/2006/relationships/hyperlink" Target="https://www.gigxp.com/list-of-sql-server-versions-build-numbers-and-service-packs/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Madupu, Praveen</dc:creator>
  <cp:keywords/>
  <dc:description/>
  <cp:lastModifiedBy>Madupu, Praveen</cp:lastModifiedBy>
  <cp:revision>7</cp:revision>
  <dcterms:created xsi:type="dcterms:W3CDTF">2020-04-27T08:52:00Z</dcterms:created>
  <dcterms:modified xsi:type="dcterms:W3CDTF">2020-04-27T08:59:00Z</dcterms:modified>
</cp:coreProperties>
</file>