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Approved Term Sheet</w:t>
      </w:r>
    </w:p>
    <w:tbl>
      <w:tr>
        <w:tc>
          <w:p>
            <w:r>
              <w:t>Borrower</w:t>
            </w:r>
          </w:p>
        </w:tc>
        <w:tc>
          <w:p>
            <w:r>
              <w:rPr>
                <w:b/>
              </w:rPr>
              <w:t>{{borrow</w:t>
            </w:r>
            <w:r>
              <w:t>er_name}}</w:t>
            </w:r>
          </w:p>
        </w:tc>
      </w:tr>
      <w:tr>
        <w:tc>
          <w:p>
            <w:r>
              <w:t>Amount (₹)</w:t>
            </w:r>
          </w:p>
        </w:tc>
        <w:tc>
          <w:p>
            <w:r>
              <w:rPr>
                <w:b/>
              </w:rPr>
              <w:t>{{loan_</w:t>
            </w:r>
            <w:r>
              <w:t>amount}}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Retained legal footer</w:t>
    </w:r>
  </w:p>
</w:ftr>
</file>

<file path=word/header1.xml><?xml version="1.0" encoding="utf-8"?>
<w:hdr xmlns:w="http://schemas.openxmlformats.org/wordprocessingml/2006/main">
  <w:p>
    <w:r>
      <w:t>SFPCL Approved Legal Template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