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Nifty F&amp;O Trading System</w:t>
      </w:r>
    </w:p>
    <w:p>
      <w:pPr>
        <w:spacing w:after="120"/>
        <w:jc w:val="center"/>
      </w:pPr>
      <w:r>
        <w:rPr>
          <w:rFonts w:ascii="Arial" w:cs="Arial" w:eastAsia="Arial" w:hAnsi="Arial"/>
          <w:color w:val="666666"/>
          <w:sz w:val="32"/>
          <w:szCs w:val="32"/>
        </w:rPr>
        <w:t xml:space="preserve">Comprehensive Technical Documentation</w:t>
      </w:r>
    </w:p>
    <w:p>
      <w:pPr>
        <w:pBdr>
          <w:bottom w:val="single" w:color="1F4E79" w:sz="6" w:space="8"/>
        </w:pBdr>
        <w:spacing w:after="600"/>
        <w:jc w:val="center"/>
      </w:pPr>
      <w:r>
        <w:rPr>
          <w:rFonts w:ascii="Arial" w:cs="Arial" w:eastAsia="Arial" w:hAnsi="Arial"/>
          <w:i/>
          <w:iCs/>
          <w:color w:val="666666"/>
          <w:sz w:val="24"/>
          <w:szCs w:val="24"/>
        </w:rPr>
        <w:t xml:space="preserve">9-Layer Quantitative Trading Framework for Indian Equity Derivatives</w:t>
      </w:r>
    </w:p>
    <w:p>
      <w:pPr>
        <w:spacing w:before="400"/>
      </w:pPr>
    </w:p>
    <w:p>
      <w:pPr>
        <w:jc w:val="center"/>
      </w:pPr>
      <w:r>
        <w:rPr>
          <w:rFonts w:ascii="Arial" w:cs="Arial" w:eastAsia="Arial" w:hAnsi="Arial"/>
          <w:color w:val="666666"/>
          <w:sz w:val="24"/>
          <w:szCs w:val="24"/>
        </w:rPr>
        <w:t xml:space="preserve">Version 1.0  |  March 2026</w:t>
      </w:r>
    </w:p>
    <w:p>
      <w:pPr>
        <w:spacing w:after="100"/>
        <w:jc w:val="center"/>
      </w:pPr>
      <w:r>
        <w:rPr>
          <w:rFonts w:ascii="Arial" w:cs="Arial" w:eastAsia="Arial" w:hAnsi="Arial"/>
          <w:color w:val="666666"/>
          <w:sz w:val="22"/>
          <w:szCs w:val="22"/>
        </w:rPr>
        <w:t xml:space="preserve">~78,200 lines of Python  |  150+ modules  |  15+ subsystems</w:t>
      </w:r>
    </w:p>
    <w:p>
      <w:r>
        <w:br w:type="page"/>
      </w:r>
    </w:p>
    <w:p>
      <w:pPr>
        <w:sectPr>
          <w:pgSz w:w="12240" w:h="15840" w:orient="portrait"/>
          <w:pgMar w:top="1440" w:right="1260" w:bottom="1440" w:left="1260" w:header="708" w:footer="708" w:gutter="0"/>
          <w:pgNumType/>
          <w:docGrid w:linePitch="360"/>
        </w:sectPr>
      </w:pPr>
    </w:p>
    <w:p>
      <w:pPr>
        <w:pStyle w:val="Heading1"/>
        <w:spacing w:after="12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This document describes a 9-layer quantitative trading system designed for the Indian equity derivatives market (NSE Nifty 50 and Bank Nifty futures/options). The system combines regime-aware directional signals with options income strategies, India-specific intraday patterns, and a comprehensive risk management framework.</w:t>
      </w:r>
    </w:p>
    <w:p>
      <w:pPr>
        <w:spacing w:after="120"/>
        <w:jc w:val="left"/>
      </w:pPr>
      <w:r>
        <w:rPr>
          <w:rFonts w:ascii="Arial" w:cs="Arial" w:eastAsia="Arial" w:hAnsi="Arial"/>
          <w:b w:val="false"/>
          <w:bCs w:val="false"/>
          <w:i w:val="false"/>
          <w:iCs w:val="false"/>
          <w:color w:val="333333"/>
          <w:sz w:val="22"/>
          <w:szCs w:val="22"/>
        </w:rPr>
        <w:t xml:space="preserve">The system is built for automated paper trading with a clear path to live deployment, running on cron-scheduled pipelines with Telegram alerting, crash recovery, and database-backed position tracking.</w:t>
      </w:r>
    </w:p>
    <w:p>
      <w:pPr>
        <w:pStyle w:val="Heading2"/>
        <w:spacing w:after="120" w:before="240"/>
      </w:pPr>
      <w:r>
        <w:t xml:space="preserve">Key Metrics (Walk-Forward Validated)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Active Scoring Signals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 (7 daily + 2 intraday)</w:t>
            </w:r>
          </w:p>
        </w:tc>
      </w:tr>
      <w:tr>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Shadow Tracking Signals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r>
      <w:tr>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Combined Portfolio Sharpe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3.44</w:t>
            </w:r>
          </w:p>
        </w:tc>
      </w:tr>
      <w:tr>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Backtest CAGR (7-signal)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127.5%</w:t>
            </w:r>
          </w:p>
        </w:tc>
      </w:tr>
      <w:tr>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Maximum Drawdown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16.4%</w:t>
            </w:r>
          </w:p>
        </w:tc>
      </w:tr>
      <w:tr>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Realistic Live CAGR Target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50–60%</w:t>
            </w:r>
          </w:p>
        </w:tc>
      </w:tr>
      <w:tr>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Codebase Size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~78,200 lines across 150+ modules</w:t>
            </w:r>
          </w:p>
        </w:tc>
      </w:tr>
    </w:tbl>
    <w:p>
      <w:pPr>
        <w:spacing w:after="6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color w:val="333333"/>
          <w:sz w:val="22"/>
          <w:szCs w:val="22"/>
        </w:rPr>
        <w:t xml:space="preserve">Note: </w:t>
      </w:r>
      <w:r>
        <w:rPr>
          <w:rFonts w:ascii="Arial" w:cs="Arial" w:eastAsia="Arial" w:hAnsi="Arial"/>
          <w:color w:val="333333"/>
          <w:sz w:val="22"/>
          <w:szCs w:val="22"/>
        </w:rPr>
        <w:t xml:space="preserve">Backtest CAGR of 127.5% reflects ideal execution. Real-world slippage, impact costs, and market microstructure typically reduce this to a 50–60% CAGR ceiling with max drawdown under 30%.</w:t>
      </w:r>
    </w:p>
    <w:p>
      <w:r>
        <w:br w:type="page"/>
      </w:r>
    </w:p>
    <w:p>
      <w:pPr>
        <w:pStyle w:val="Heading1"/>
        <w:spacing w:after="120" w:before="360"/>
      </w:pPr>
      <w:r>
        <w:t xml:space="preserve">2. System Architecture</w:t>
      </w:r>
    </w:p>
    <w:p>
      <w:pPr>
        <w:spacing w:after="120"/>
        <w:jc w:val="left"/>
      </w:pPr>
      <w:r>
        <w:rPr>
          <w:rFonts w:ascii="Arial" w:cs="Arial" w:eastAsia="Arial" w:hAnsi="Arial"/>
          <w:b w:val="false"/>
          <w:bCs w:val="false"/>
          <w:i w:val="false"/>
          <w:iCs w:val="false"/>
          <w:color w:val="333333"/>
          <w:sz w:val="22"/>
          <w:szCs w:val="22"/>
        </w:rPr>
        <w:t xml:space="preserve">The system is organized into 9 conceptual layers (L1–L9), each adding specific analytical or execution capabilities. These layers were implemented sequentially and validated independently using walk-forward analysis on real NSE data.</w:t>
      </w:r>
    </w:p>
    <w:p>
      <w:pPr>
        <w:pStyle w:val="Heading2"/>
        <w:spacing w:after="120" w:before="240"/>
      </w:pPr>
      <w:r>
        <w:t xml:space="preserve">2.1 Layer Overview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000"/>
        <w:gridCol w:w="3520"/>
      </w:tblGrid>
      <w:tr>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Source / Method</w:t>
            </w:r>
          </w:p>
        </w:tc>
        <w:tc>
          <w:tcPr>
            <w:tcW w:type="dxa" w:w="35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Kaufman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Adaptive Moving Averages</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Trend detection with noise filtering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Gujral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Multi-timeframe trend</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Confirm trend across daily/weekly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Grimes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Market regime detection</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VIX-based regime classification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Bulkowski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Chart pattern recognition</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Pattern-based directional entries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Chan / Lopez</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ML + statistical tests</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Feature engineering, CPCV, deflated Sharpe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SSRN / FII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Academic + institutional flow</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Calendar effects, FII/DII divergence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Risk / Sizing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Position sizing + behavioral</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Compound tiered sizing, Kahneman overlays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Derivatives strategies</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Credit spreads, IV rank gating, theta tracking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Intraday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India-specific intraday</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Expiry pin fade, opening range reversion</w:t>
            </w:r>
          </w:p>
        </w:tc>
      </w:tr>
    </w:tbl>
    <w:p>
      <w:pPr>
        <w:pStyle w:val="Heading2"/>
        <w:spacing w:after="120" w:before="240"/>
      </w:pPr>
      <w:r>
        <w:t xml:space="preserve">2.2 Directory Structure</w:t>
      </w:r>
    </w:p>
    <w:p>
      <w:pPr>
        <w:spacing w:after="120"/>
        <w:jc w:val="left"/>
      </w:pPr>
      <w:r>
        <w:rPr>
          <w:rFonts w:ascii="Arial" w:cs="Arial" w:eastAsia="Arial" w:hAnsi="Arial"/>
          <w:b w:val="false"/>
          <w:bCs w:val="false"/>
          <w:i w:val="false"/>
          <w:iCs w:val="false"/>
          <w:color w:val="333333"/>
          <w:sz w:val="22"/>
          <w:szCs w:val="22"/>
        </w:rPr>
        <w:t xml:space="preserve">The codebase is organized into functional directories:</w:t>
      </w:r>
    </w:p>
    <w:p>
      <w:pPr>
        <w:pStyle w:val="ListParagraph"/>
        <w:numPr>
          <w:ilvl w:val="0"/>
          <w:numId w:val="2"/>
        </w:numPr>
        <w:spacing w:after="60"/>
      </w:pPr>
      <w:r>
        <w:rPr>
          <w:rFonts w:ascii="Arial" w:cs="Arial" w:eastAsia="Arial" w:hAnsi="Arial"/>
          <w:b/>
          <w:bCs/>
          <w:color w:val="333333"/>
          <w:sz w:val="22"/>
          <w:szCs w:val="22"/>
        </w:rPr>
        <w:t xml:space="preserve">signals/</w:t>
      </w:r>
      <w:r>
        <w:rPr>
          <w:rFonts w:ascii="Arial" w:cs="Arial" w:eastAsia="Arial" w:hAnsi="Arial"/>
          <w:color w:val="333333"/>
          <w:sz w:val="22"/>
          <w:szCs w:val="22"/>
        </w:rPr>
        <w:t xml:space="preserve"> (21 files) — All signal generators: Kaufman, Gujral, Grimes, Bulkowski patterns, Chan features, calendar overlay, IV rank, max pain, strangle seller, India intraday signals, FII overlay</w:t>
      </w:r>
    </w:p>
    <w:p>
      <w:pPr>
        <w:pStyle w:val="ListParagraph"/>
        <w:numPr>
          <w:ilvl w:val="0"/>
          <w:numId w:val="2"/>
        </w:numPr>
        <w:spacing w:after="60"/>
      </w:pPr>
      <w:r>
        <w:rPr>
          <w:rFonts w:ascii="Arial" w:cs="Arial" w:eastAsia="Arial" w:hAnsi="Arial"/>
          <w:b/>
          <w:bCs/>
          <w:color w:val="333333"/>
          <w:sz w:val="22"/>
          <w:szCs w:val="22"/>
        </w:rPr>
        <w:t xml:space="preserve">paper_trading/</w:t>
      </w:r>
      <w:r>
        <w:rPr>
          <w:rFonts w:ascii="Arial" w:cs="Arial" w:eastAsia="Arial" w:hAnsi="Arial"/>
          <w:color w:val="333333"/>
          <w:sz w:val="22"/>
          <w:szCs w:val="22"/>
        </w:rPr>
        <w:t xml:space="preserve"> (31 files) — Paper trading engine: daily runner, intraday runner, EOD reconciler, shadow trackers, portfolio scorer, fill monitor, crash recovery integration</w:t>
      </w:r>
    </w:p>
    <w:p>
      <w:pPr>
        <w:pStyle w:val="ListParagraph"/>
        <w:numPr>
          <w:ilvl w:val="0"/>
          <w:numId w:val="2"/>
        </w:numPr>
        <w:spacing w:after="60"/>
      </w:pPr>
      <w:r>
        <w:rPr>
          <w:rFonts w:ascii="Arial" w:cs="Arial" w:eastAsia="Arial" w:hAnsi="Arial"/>
          <w:b/>
          <w:bCs/>
          <w:color w:val="333333"/>
          <w:sz w:val="22"/>
          <w:szCs w:val="22"/>
        </w:rPr>
        <w:t xml:space="preserve">execution/</w:t>
      </w:r>
      <w:r>
        <w:rPr>
          <w:rFonts w:ascii="Arial" w:cs="Arial" w:eastAsia="Arial" w:hAnsi="Arial"/>
          <w:color w:val="333333"/>
          <w:sz w:val="22"/>
          <w:szCs w:val="22"/>
        </w:rPr>
        <w:t xml:space="preserve"> (18 files) — Order execution: credit spread executor, margin calculator, theta tracker, crash recovery, session reconciler, non-blocking fill monitor</w:t>
      </w:r>
    </w:p>
    <w:p>
      <w:pPr>
        <w:pStyle w:val="ListParagraph"/>
        <w:numPr>
          <w:ilvl w:val="0"/>
          <w:numId w:val="2"/>
        </w:numPr>
        <w:spacing w:after="60"/>
      </w:pPr>
      <w:r>
        <w:rPr>
          <w:rFonts w:ascii="Arial" w:cs="Arial" w:eastAsia="Arial" w:hAnsi="Arial"/>
          <w:b/>
          <w:bCs/>
          <w:color w:val="333333"/>
          <w:sz w:val="22"/>
          <w:szCs w:val="22"/>
        </w:rPr>
        <w:t xml:space="preserve">backtest/</w:t>
      </w:r>
      <w:r>
        <w:rPr>
          <w:rFonts w:ascii="Arial" w:cs="Arial" w:eastAsia="Arial" w:hAnsi="Arial"/>
          <w:color w:val="333333"/>
          <w:sz w:val="22"/>
          <w:szCs w:val="22"/>
        </w:rPr>
        <w:t xml:space="preserve"> (30 files) — Walk-forward engines, robustness suite (Monte Carlo, bootstrap, stress test, slippage sensitivity, OOS holdout)</w:t>
      </w:r>
    </w:p>
    <w:p>
      <w:pPr>
        <w:pStyle w:val="ListParagraph"/>
        <w:numPr>
          <w:ilvl w:val="0"/>
          <w:numId w:val="2"/>
        </w:numPr>
        <w:spacing w:after="60"/>
      </w:pPr>
      <w:r>
        <w:rPr>
          <w:rFonts w:ascii="Arial" w:cs="Arial" w:eastAsia="Arial" w:hAnsi="Arial"/>
          <w:b/>
          <w:bCs/>
          <w:color w:val="333333"/>
          <w:sz w:val="22"/>
          <w:szCs w:val="22"/>
        </w:rPr>
        <w:t xml:space="preserve">data/</w:t>
      </w:r>
      <w:r>
        <w:rPr>
          <w:rFonts w:ascii="Arial" w:cs="Arial" w:eastAsia="Arial" w:hAnsi="Arial"/>
          <w:color w:val="333333"/>
          <w:sz w:val="22"/>
          <w:szCs w:val="22"/>
        </w:rPr>
        <w:t xml:space="preserve"> (13 files) — Data ingestion: Kite API wrappers, daily/intraday OHLCV refresh, backfill utilities</w:t>
      </w:r>
    </w:p>
    <w:p>
      <w:pPr>
        <w:pStyle w:val="ListParagraph"/>
        <w:numPr>
          <w:ilvl w:val="0"/>
          <w:numId w:val="2"/>
        </w:numPr>
        <w:spacing w:after="60"/>
      </w:pPr>
      <w:r>
        <w:rPr>
          <w:rFonts w:ascii="Arial" w:cs="Arial" w:eastAsia="Arial" w:hAnsi="Arial"/>
          <w:b/>
          <w:bCs/>
          <w:color w:val="333333"/>
          <w:sz w:val="22"/>
          <w:szCs w:val="22"/>
        </w:rPr>
        <w:t xml:space="preserve">models/</w:t>
      </w:r>
      <w:r>
        <w:rPr>
          <w:rFonts w:ascii="Arial" w:cs="Arial" w:eastAsia="Arial" w:hAnsi="Arial"/>
          <w:color w:val="333333"/>
          <w:sz w:val="22"/>
          <w:szCs w:val="22"/>
        </w:rPr>
        <w:t xml:space="preserve"> (13 files) — XGBoost scorer, CPCV engine, feature pipelines</w:t>
      </w:r>
    </w:p>
    <w:p>
      <w:pPr>
        <w:pStyle w:val="ListParagraph"/>
        <w:numPr>
          <w:ilvl w:val="0"/>
          <w:numId w:val="2"/>
        </w:numPr>
        <w:spacing w:after="60"/>
      </w:pPr>
      <w:r>
        <w:rPr>
          <w:rFonts w:ascii="Arial" w:cs="Arial" w:eastAsia="Arial" w:hAnsi="Arial"/>
          <w:b/>
          <w:bCs/>
          <w:color w:val="333333"/>
          <w:sz w:val="22"/>
          <w:szCs w:val="22"/>
        </w:rPr>
        <w:t xml:space="preserve">risk/</w:t>
      </w:r>
      <w:r>
        <w:rPr>
          <w:rFonts w:ascii="Arial" w:cs="Arial" w:eastAsia="Arial" w:hAnsi="Arial"/>
          <w:color w:val="333333"/>
          <w:sz w:val="22"/>
          <w:szCs w:val="22"/>
        </w:rPr>
        <w:t xml:space="preserve"> (6 files) — Position sizing, behavioral overlays, India-specific risk guards, circuit breaker detection</w:t>
      </w:r>
    </w:p>
    <w:p>
      <w:pPr>
        <w:pStyle w:val="ListParagraph"/>
        <w:numPr>
          <w:ilvl w:val="0"/>
          <w:numId w:val="2"/>
        </w:numPr>
        <w:spacing w:after="60"/>
      </w:pPr>
      <w:r>
        <w:rPr>
          <w:rFonts w:ascii="Arial" w:cs="Arial" w:eastAsia="Arial" w:hAnsi="Arial"/>
          <w:b/>
          <w:bCs/>
          <w:color w:val="333333"/>
          <w:sz w:val="22"/>
          <w:szCs w:val="22"/>
        </w:rPr>
        <w:t xml:space="preserve">fii/</w:t>
      </w:r>
      <w:r>
        <w:rPr>
          <w:rFonts w:ascii="Arial" w:cs="Arial" w:eastAsia="Arial" w:hAnsi="Arial"/>
          <w:color w:val="333333"/>
          <w:sz w:val="22"/>
          <w:szCs w:val="22"/>
        </w:rPr>
        <w:t xml:space="preserve"> (5 files) — FII/DII data pipeline, pattern detection, divergence analysis</w:t>
      </w:r>
    </w:p>
    <w:p>
      <w:pPr>
        <w:pStyle w:val="ListParagraph"/>
        <w:numPr>
          <w:ilvl w:val="0"/>
          <w:numId w:val="2"/>
        </w:numPr>
        <w:spacing w:after="60"/>
      </w:pPr>
      <w:r>
        <w:rPr>
          <w:rFonts w:ascii="Arial" w:cs="Arial" w:eastAsia="Arial" w:hAnsi="Arial"/>
          <w:b/>
          <w:bCs/>
          <w:color w:val="333333"/>
          <w:sz w:val="22"/>
          <w:szCs w:val="22"/>
        </w:rPr>
        <w:t xml:space="preserve">monitoring/</w:t>
      </w:r>
      <w:r>
        <w:rPr>
          <w:rFonts w:ascii="Arial" w:cs="Arial" w:eastAsia="Arial" w:hAnsi="Arial"/>
          <w:color w:val="333333"/>
          <w:sz w:val="22"/>
          <w:szCs w:val="22"/>
        </w:rPr>
        <w:t xml:space="preserve"> (6 files) — Telegram alerter, Prometheus metrics, health checks</w:t>
      </w:r>
    </w:p>
    <w:p>
      <w:pPr>
        <w:pStyle w:val="ListParagraph"/>
        <w:numPr>
          <w:ilvl w:val="0"/>
          <w:numId w:val="2"/>
        </w:numPr>
        <w:spacing w:after="60"/>
      </w:pPr>
      <w:r>
        <w:rPr>
          <w:rFonts w:ascii="Arial" w:cs="Arial" w:eastAsia="Arial" w:hAnsi="Arial"/>
          <w:b/>
          <w:bCs/>
          <w:color w:val="333333"/>
          <w:sz w:val="22"/>
          <w:szCs w:val="22"/>
        </w:rPr>
        <w:t xml:space="preserve">db/</w:t>
      </w:r>
      <w:r>
        <w:rPr>
          <w:rFonts w:ascii="Arial" w:cs="Arial" w:eastAsia="Arial" w:hAnsi="Arial"/>
          <w:color w:val="333333"/>
          <w:sz w:val="22"/>
          <w:szCs w:val="22"/>
        </w:rPr>
        <w:t xml:space="preserve"> (migrations/) — 7 SQL migrations, connection pooling, schema management</w:t>
      </w:r>
    </w:p>
    <w:p>
      <w:pPr>
        <w:pStyle w:val="ListParagraph"/>
        <w:numPr>
          <w:ilvl w:val="0"/>
          <w:numId w:val="2"/>
        </w:numPr>
        <w:spacing w:after="60"/>
      </w:pPr>
      <w:r>
        <w:rPr>
          <w:rFonts w:ascii="Arial" w:cs="Arial" w:eastAsia="Arial" w:hAnsi="Arial"/>
          <w:b/>
          <w:bCs/>
          <w:color w:val="333333"/>
          <w:sz w:val="22"/>
          <w:szCs w:val="22"/>
        </w:rPr>
        <w:t xml:space="preserve">config/</w:t>
      </w:r>
      <w:r>
        <w:rPr>
          <w:rFonts w:ascii="Arial" w:cs="Arial" w:eastAsia="Arial" w:hAnsi="Arial"/>
          <w:color w:val="333333"/>
          <w:sz w:val="22"/>
          <w:szCs w:val="22"/>
        </w:rPr>
        <w:t xml:space="preserve"> — YAML configuration files, calendar events JSON, regime parameters</w:t>
      </w:r>
    </w:p>
    <w:p>
      <w:pPr>
        <w:pStyle w:val="ListParagraph"/>
        <w:numPr>
          <w:ilvl w:val="0"/>
          <w:numId w:val="2"/>
        </w:numPr>
        <w:spacing w:after="60"/>
      </w:pPr>
      <w:r>
        <w:rPr>
          <w:rFonts w:ascii="Arial" w:cs="Arial" w:eastAsia="Arial" w:hAnsi="Arial"/>
          <w:b/>
          <w:bCs/>
          <w:color w:val="333333"/>
          <w:sz w:val="22"/>
          <w:szCs w:val="22"/>
        </w:rPr>
        <w:t xml:space="preserve">scripts/</w:t>
      </w:r>
      <w:r>
        <w:rPr>
          <w:rFonts w:ascii="Arial" w:cs="Arial" w:eastAsia="Arial" w:hAnsi="Arial"/>
          <w:color w:val="333333"/>
          <w:sz w:val="22"/>
          <w:szCs w:val="22"/>
        </w:rPr>
        <w:t xml:space="preserve"> — Cron runner, health check, crontab schedule, deployment utilities</w:t>
      </w:r>
    </w:p>
    <w:p>
      <w:r>
        <w:br w:type="page"/>
      </w:r>
    </w:p>
    <w:p>
      <w:pPr>
        <w:pStyle w:val="Heading1"/>
        <w:spacing w:after="120" w:before="360"/>
      </w:pPr>
      <w:r>
        <w:t xml:space="preserve">3. Signal Engine</w:t>
      </w:r>
    </w:p>
    <w:p>
      <w:pPr>
        <w:spacing w:after="120"/>
        <w:jc w:val="left"/>
      </w:pPr>
      <w:r>
        <w:rPr>
          <w:rFonts w:ascii="Arial" w:cs="Arial" w:eastAsia="Arial" w:hAnsi="Arial"/>
          <w:b w:val="false"/>
          <w:bCs w:val="false"/>
          <w:i w:val="false"/>
          <w:iCs w:val="false"/>
          <w:color w:val="333333"/>
          <w:sz w:val="22"/>
          <w:szCs w:val="22"/>
        </w:rPr>
        <w:t xml:space="preserve">The signal engine generates trading signals across multiple timeframes and strategies. Signals are classified as SCORING (actively contribute to portfolio decisions) or SHADOW (tracked for monitoring but not traded).</w:t>
      </w:r>
    </w:p>
    <w:p>
      <w:pPr>
        <w:pStyle w:val="Heading2"/>
        <w:spacing w:after="120" w:before="240"/>
      </w:pPr>
      <w:r>
        <w:t xml:space="preserve">3.1 Scoring Signals (Active)</w:t>
      </w:r>
    </w:p>
    <w:p>
      <w:pPr>
        <w:spacing w:after="120"/>
        <w:jc w:val="left"/>
      </w:pPr>
      <w:r>
        <w:rPr>
          <w:rFonts w:ascii="Arial" w:cs="Arial" w:eastAsia="Arial" w:hAnsi="Arial"/>
          <w:b w:val="false"/>
          <w:bCs w:val="false"/>
          <w:i w:val="false"/>
          <w:iCs w:val="false"/>
          <w:color w:val="333333"/>
          <w:sz w:val="22"/>
          <w:szCs w:val="22"/>
        </w:rPr>
        <w:t xml:space="preserve">These 9 signals have passed walk-forward validation and contribute to live trading decisions:</w:t>
      </w:r>
    </w:p>
    <w:p>
      <w:pPr>
        <w:pStyle w:val="Heading3"/>
        <w:spacing w:after="120" w:before="240"/>
      </w:pPr>
      <w:r>
        <w:t xml:space="preserve">3.1.1 Daily Directional Signals (7)</w:t>
      </w:r>
    </w:p>
    <w:p>
      <w:pPr>
        <w:pStyle w:val="ListParagraph"/>
        <w:numPr>
          <w:ilvl w:val="0"/>
          <w:numId w:val="2"/>
        </w:numPr>
        <w:spacing w:after="60"/>
      </w:pPr>
      <w:r>
        <w:rPr>
          <w:rFonts w:ascii="Arial" w:cs="Arial" w:eastAsia="Arial" w:hAnsi="Arial"/>
          <w:b/>
          <w:bCs/>
          <w:color w:val="333333"/>
          <w:sz w:val="22"/>
          <w:szCs w:val="22"/>
        </w:rPr>
        <w:t xml:space="preserve">KAUFMAN_KAMA_CROSS: </w:t>
      </w:r>
      <w:r>
        <w:rPr>
          <w:rFonts w:ascii="Arial" w:cs="Arial" w:eastAsia="Arial" w:hAnsi="Arial"/>
          <w:color w:val="333333"/>
          <w:sz w:val="22"/>
          <w:szCs w:val="22"/>
        </w:rPr>
        <w:t xml:space="preserve">Kaufman Adaptive Moving Average crossover. Adapts smoothing to market noise via the Efficiency Ratio. Filters whipsaws in ranging markets.</w:t>
      </w:r>
    </w:p>
    <w:p>
      <w:pPr>
        <w:pStyle w:val="ListParagraph"/>
        <w:numPr>
          <w:ilvl w:val="0"/>
          <w:numId w:val="2"/>
        </w:numPr>
        <w:spacing w:after="60"/>
      </w:pPr>
      <w:r>
        <w:rPr>
          <w:rFonts w:ascii="Arial" w:cs="Arial" w:eastAsia="Arial" w:hAnsi="Arial"/>
          <w:b/>
          <w:bCs/>
          <w:color w:val="333333"/>
          <w:sz w:val="22"/>
          <w:szCs w:val="22"/>
        </w:rPr>
        <w:t xml:space="preserve">GUJRAL_TREND_FOLLOW: </w:t>
      </w:r>
      <w:r>
        <w:rPr>
          <w:rFonts w:ascii="Arial" w:cs="Arial" w:eastAsia="Arial" w:hAnsi="Arial"/>
          <w:color w:val="333333"/>
          <w:sz w:val="22"/>
          <w:szCs w:val="22"/>
        </w:rPr>
        <w:t xml:space="preserve">Multi-timeframe trend confirmation from Ashwani Gujral’s methodology. Aligns daily and weekly trend signals with volume confirmation.</w:t>
      </w:r>
    </w:p>
    <w:p>
      <w:pPr>
        <w:pStyle w:val="ListParagraph"/>
        <w:numPr>
          <w:ilvl w:val="0"/>
          <w:numId w:val="2"/>
        </w:numPr>
        <w:spacing w:after="60"/>
      </w:pPr>
      <w:r>
        <w:rPr>
          <w:rFonts w:ascii="Arial" w:cs="Arial" w:eastAsia="Arial" w:hAnsi="Arial"/>
          <w:b/>
          <w:bCs/>
          <w:color w:val="333333"/>
          <w:sz w:val="22"/>
          <w:szCs w:val="22"/>
        </w:rPr>
        <w:t xml:space="preserve">GRIMES_REGIME_FILTER: </w:t>
      </w:r>
      <w:r>
        <w:rPr>
          <w:rFonts w:ascii="Arial" w:cs="Arial" w:eastAsia="Arial" w:hAnsi="Arial"/>
          <w:color w:val="333333"/>
          <w:sz w:val="22"/>
          <w:szCs w:val="22"/>
        </w:rPr>
        <w:t xml:space="preserve">Market regime detection using VIX-based classification with hysteresis bands. Maps to 5 regimes: CALM, NORMAL, ELEVATED, HIGH_VOL, CRISIS. Adjusts signal confidence based on regime.</w:t>
      </w:r>
    </w:p>
    <w:p>
      <w:pPr>
        <w:pStyle w:val="ListParagraph"/>
        <w:numPr>
          <w:ilvl w:val="0"/>
          <w:numId w:val="2"/>
        </w:numPr>
        <w:spacing w:after="60"/>
      </w:pPr>
      <w:r>
        <w:rPr>
          <w:rFonts w:ascii="Arial" w:cs="Arial" w:eastAsia="Arial" w:hAnsi="Arial"/>
          <w:b/>
          <w:bCs/>
          <w:color w:val="333333"/>
          <w:sz w:val="22"/>
          <w:szCs w:val="22"/>
        </w:rPr>
        <w:t xml:space="preserve">BULKOWSKI_ADAM_AND_EVE: </w:t>
      </w:r>
      <w:r>
        <w:rPr>
          <w:rFonts w:ascii="Arial" w:cs="Arial" w:eastAsia="Arial" w:hAnsi="Arial"/>
          <w:color w:val="333333"/>
          <w:sz w:val="22"/>
          <w:szCs w:val="22"/>
        </w:rPr>
        <w:t xml:space="preserve">Chart pattern recognition from Thomas Bulkowski’s encyclopedia. Detects Adam &amp; Eve double-bottom formations with volume confirmation.</w:t>
      </w:r>
    </w:p>
    <w:p>
      <w:pPr>
        <w:pStyle w:val="ListParagraph"/>
        <w:numPr>
          <w:ilvl w:val="0"/>
          <w:numId w:val="2"/>
        </w:numPr>
        <w:spacing w:after="60"/>
      </w:pPr>
      <w:r>
        <w:rPr>
          <w:rFonts w:ascii="Arial" w:cs="Arial" w:eastAsia="Arial" w:hAnsi="Arial"/>
          <w:b/>
          <w:bCs/>
          <w:color w:val="333333"/>
          <w:sz w:val="22"/>
          <w:szCs w:val="22"/>
        </w:rPr>
        <w:t xml:space="preserve">CALENDAR_DRIFT: </w:t>
      </w:r>
      <w:r>
        <w:rPr>
          <w:rFonts w:ascii="Arial" w:cs="Arial" w:eastAsia="Arial" w:hAnsi="Arial"/>
          <w:color w:val="333333"/>
          <w:sz w:val="22"/>
          <w:szCs w:val="22"/>
        </w:rPr>
        <w:t xml:space="preserve">Exploits systematic calendar effects: RBI Monetary Policy Committee announcement drift, budget day patterns, monthly seasonality (bullish Jan/Apr/Nov, bearish May/Oct), expiry week dynamics.</w:t>
      </w:r>
    </w:p>
    <w:p>
      <w:pPr>
        <w:pStyle w:val="ListParagraph"/>
        <w:numPr>
          <w:ilvl w:val="0"/>
          <w:numId w:val="2"/>
        </w:numPr>
        <w:spacing w:after="60"/>
      </w:pPr>
      <w:r>
        <w:rPr>
          <w:rFonts w:ascii="Arial" w:cs="Arial" w:eastAsia="Arial" w:hAnsi="Arial"/>
          <w:b/>
          <w:bCs/>
          <w:color w:val="333333"/>
          <w:sz w:val="22"/>
          <w:szCs w:val="22"/>
        </w:rPr>
        <w:t xml:space="preserve">FII_FLOW_MOMENTUM: </w:t>
      </w:r>
      <w:r>
        <w:rPr>
          <w:rFonts w:ascii="Arial" w:cs="Arial" w:eastAsia="Arial" w:hAnsi="Arial"/>
          <w:color w:val="333333"/>
          <w:sz w:val="22"/>
          <w:szCs w:val="22"/>
        </w:rPr>
        <w:t xml:space="preserve">Foreign Institutional Investor flow analysis with DII (Domestic Institutional Investor) divergence detection. Uses 5-day rolling flow momentum with regime-based confidence adjustment.</w:t>
      </w:r>
    </w:p>
    <w:p>
      <w:pPr>
        <w:pStyle w:val="ListParagraph"/>
        <w:numPr>
          <w:ilvl w:val="0"/>
          <w:numId w:val="2"/>
        </w:numPr>
        <w:spacing w:after="60"/>
      </w:pPr>
      <w:r>
        <w:rPr>
          <w:rFonts w:ascii="Arial" w:cs="Arial" w:eastAsia="Arial" w:hAnsi="Arial"/>
          <w:b/>
          <w:bCs/>
          <w:color w:val="333333"/>
          <w:sz w:val="22"/>
          <w:szCs w:val="22"/>
        </w:rPr>
        <w:t xml:space="preserve">IV_RANK_MEAN_REVERT: </w:t>
      </w:r>
      <w:r>
        <w:rPr>
          <w:rFonts w:ascii="Arial" w:cs="Arial" w:eastAsia="Arial" w:hAnsi="Arial"/>
          <w:color w:val="333333"/>
          <w:sz w:val="22"/>
          <w:szCs w:val="22"/>
        </w:rPr>
        <w:t xml:space="preserve">Implied volatility rank and percentile computed from 252-day rolling India VIX. Generates mean-reversion signals when IV rank exceeds 80th or drops below 20th percentile.</w:t>
      </w:r>
    </w:p>
    <w:p>
      <w:pPr>
        <w:pStyle w:val="Heading3"/>
        <w:spacing w:after="120" w:before="240"/>
      </w:pPr>
      <w:r>
        <w:t xml:space="preserve">3.1.2 Intraday Signals (2)</w:t>
      </w:r>
    </w:p>
    <w:p>
      <w:pPr>
        <w:pStyle w:val="ListParagraph"/>
        <w:numPr>
          <w:ilvl w:val="0"/>
          <w:numId w:val="2"/>
        </w:numPr>
        <w:spacing w:after="60"/>
      </w:pPr>
      <w:r>
        <w:rPr>
          <w:rFonts w:ascii="Arial" w:cs="Arial" w:eastAsia="Arial" w:hAnsi="Arial"/>
          <w:b/>
          <w:bCs/>
          <w:color w:val="333333"/>
          <w:sz w:val="22"/>
          <w:szCs w:val="22"/>
        </w:rPr>
        <w:t xml:space="preserve">EXPIRY_PIN_FADE: </w:t>
      </w:r>
      <w:r>
        <w:rPr>
          <w:rFonts w:ascii="Arial" w:cs="Arial" w:eastAsia="Arial" w:hAnsi="Arial"/>
          <w:color w:val="333333"/>
          <w:sz w:val="22"/>
          <w:szCs w:val="22"/>
        </w:rPr>
        <w:t xml:space="preserve">India-specific signal exploiting expiry-day pinning to max pain strike. Detects when Nifty approaches the highest OI strike in the final 90 minutes of Thursday expiry. Walk-forward win rate: 91%, profit factor: 14.53.</w:t>
      </w:r>
    </w:p>
    <w:p>
      <w:pPr>
        <w:pStyle w:val="ListParagraph"/>
        <w:numPr>
          <w:ilvl w:val="0"/>
          <w:numId w:val="2"/>
        </w:numPr>
        <w:spacing w:after="60"/>
      </w:pPr>
      <w:r>
        <w:rPr>
          <w:rFonts w:ascii="Arial" w:cs="Arial" w:eastAsia="Arial" w:hAnsi="Arial"/>
          <w:b/>
          <w:bCs/>
          <w:color w:val="333333"/>
          <w:sz w:val="22"/>
          <w:szCs w:val="22"/>
        </w:rPr>
        <w:t xml:space="preserve">ORR_REVERSION: </w:t>
      </w:r>
      <w:r>
        <w:rPr>
          <w:rFonts w:ascii="Arial" w:cs="Arial" w:eastAsia="Arial" w:hAnsi="Arial"/>
          <w:color w:val="333333"/>
          <w:sz w:val="22"/>
          <w:szCs w:val="22"/>
        </w:rPr>
        <w:t xml:space="preserve">Opening Range Reversion signal. Detects overextended moves in the first 15–30 minutes that revert to VWAP by midday. Walk-forward win rate: 71%, 94% of windows pass.</w:t>
      </w:r>
    </w:p>
    <w:p>
      <w:pPr>
        <w:pStyle w:val="Heading2"/>
        <w:spacing w:after="120" w:before="240"/>
      </w:pPr>
      <w:r>
        <w:t xml:space="preserve">3.2 Shadow Signals (Monitored)</w:t>
      </w:r>
    </w:p>
    <w:p>
      <w:pPr>
        <w:spacing w:after="120"/>
        <w:jc w:val="left"/>
      </w:pPr>
      <w:r>
        <w:rPr>
          <w:rFonts w:ascii="Arial" w:cs="Arial" w:eastAsia="Arial" w:hAnsi="Arial"/>
          <w:b w:val="false"/>
          <w:bCs w:val="false"/>
          <w:i w:val="false"/>
          <w:iCs w:val="false"/>
          <w:color w:val="333333"/>
          <w:sz w:val="22"/>
          <w:szCs w:val="22"/>
        </w:rPr>
        <w:t xml:space="preserve">These 10 signals are tracked in the database for analysis but do not influence live positions:</w:t>
      </w:r>
    </w:p>
    <w:p>
      <w:pPr>
        <w:pStyle w:val="ListParagraph"/>
        <w:numPr>
          <w:ilvl w:val="0"/>
          <w:numId w:val="2"/>
        </w:numPr>
        <w:spacing w:after="60"/>
      </w:pPr>
      <w:r>
        <w:rPr>
          <w:rFonts w:ascii="Arial" w:cs="Arial" w:eastAsia="Arial" w:hAnsi="Arial"/>
          <w:color w:val="333333"/>
          <w:sz w:val="22"/>
          <w:szCs w:val="22"/>
        </w:rPr>
        <w:t xml:space="preserve">COVERED_CALL, SHORT_STRANGLE, IRON_CONDOR, JADE_LIZARD, RATIO_SPREAD (L8 options — failed walk-forward on real data)</w:t>
      </w:r>
    </w:p>
    <w:p>
      <w:pPr>
        <w:pStyle w:val="ListParagraph"/>
        <w:numPr>
          <w:ilvl w:val="0"/>
          <w:numId w:val="2"/>
        </w:numPr>
        <w:spacing w:after="60"/>
      </w:pPr>
      <w:r>
        <w:rPr>
          <w:rFonts w:ascii="Arial" w:cs="Arial" w:eastAsia="Arial" w:hAnsi="Arial"/>
          <w:color w:val="333333"/>
          <w:sz w:val="22"/>
          <w:szCs w:val="22"/>
        </w:rPr>
        <w:t xml:space="preserve">ORB_BREAKOUT, VWAP_REJECTION, AL_BROOKS patterns (L9 intraday — no edge after slippage on NSE)</w:t>
      </w:r>
    </w:p>
    <w:p>
      <w:pPr>
        <w:pStyle w:val="ListParagraph"/>
        <w:numPr>
          <w:ilvl w:val="0"/>
          <w:numId w:val="2"/>
        </w:numPr>
        <w:spacing w:after="60"/>
      </w:pPr>
      <w:r>
        <w:rPr>
          <w:rFonts w:ascii="Arial" w:cs="Arial" w:eastAsia="Arial" w:hAnsi="Arial"/>
          <w:color w:val="333333"/>
          <w:sz w:val="22"/>
          <w:szCs w:val="22"/>
        </w:rPr>
        <w:t xml:space="preserve">STRIKE_CLUSTERING_GRAV (max pain directional — PF 0.20 in walk-forward)</w:t>
      </w:r>
    </w:p>
    <w:p>
      <w:pPr>
        <w:pStyle w:val="ListParagraph"/>
        <w:numPr>
          <w:ilvl w:val="0"/>
          <w:numId w:val="2"/>
        </w:numPr>
        <w:spacing w:after="60"/>
      </w:pPr>
      <w:r>
        <w:rPr>
          <w:rFonts w:ascii="Arial" w:cs="Arial" w:eastAsia="Arial" w:hAnsi="Arial"/>
          <w:color w:val="333333"/>
          <w:sz w:val="22"/>
          <w:szCs w:val="22"/>
        </w:rPr>
        <w:t xml:space="preserve">WEEKLY_STRANGLE_SELL (IV-gated strangle selling — insufficient trade count)</w:t>
      </w:r>
    </w:p>
    <w:p>
      <w:r>
        <w:br w:type="page"/>
      </w:r>
    </w:p>
    <w:p>
      <w:pPr>
        <w:pStyle w:val="Heading1"/>
        <w:spacing w:after="120" w:before="360"/>
      </w:pPr>
      <w:r>
        <w:t xml:space="preserve">4. Walk-Forward Validation Framework</w:t>
      </w:r>
    </w:p>
    <w:p>
      <w:pPr>
        <w:spacing w:after="120"/>
        <w:jc w:val="left"/>
      </w:pPr>
      <w:r>
        <w:rPr>
          <w:rFonts w:ascii="Arial" w:cs="Arial" w:eastAsia="Arial" w:hAnsi="Arial"/>
          <w:b w:val="false"/>
          <w:bCs w:val="false"/>
          <w:i w:val="false"/>
          <w:iCs w:val="false"/>
          <w:color w:val="333333"/>
          <w:sz w:val="22"/>
          <w:szCs w:val="22"/>
        </w:rPr>
        <w:t xml:space="preserve">All signals undergo rigorous walk-forward (WF) validation before promotion to SCORING status. The framework uses expanding windows with purge gaps to prevent temporal leakage.</w:t>
      </w:r>
    </w:p>
    <w:p>
      <w:pPr>
        <w:pStyle w:val="Heading2"/>
        <w:spacing w:after="120" w:before="240"/>
      </w:pPr>
      <w:r>
        <w:t xml:space="preserve">4.1 Walk-Forward Parameters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88"/>
        <w:gridCol w:w="5832"/>
      </w:tblGrid>
      <w:tr>
        <w:tc>
          <w:tcPr>
            <w:tcW w:type="dxa" w:w="388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583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38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Training Window</w:t>
            </w:r>
          </w:p>
        </w:tc>
        <w:tc>
          <w:tcPr>
            <w:tcW w:type="dxa" w:w="5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 months</w:t>
            </w:r>
          </w:p>
        </w:tc>
      </w:tr>
      <w:tr>
        <w:tc>
          <w:tcPr>
            <w:tcW w:type="dxa" w:w="38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 Window</w:t>
            </w:r>
          </w:p>
        </w:tc>
        <w:tc>
          <w:tcPr>
            <w:tcW w:type="dxa" w:w="5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 months</w:t>
            </w:r>
          </w:p>
        </w:tc>
      </w:tr>
      <w:tr>
        <w:tc>
          <w:tcPr>
            <w:tcW w:type="dxa" w:w="38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Step Size</w:t>
            </w:r>
          </w:p>
        </w:tc>
        <w:tc>
          <w:tcPr>
            <w:tcW w:type="dxa" w:w="5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months</w:t>
            </w:r>
          </w:p>
        </w:tc>
      </w:tr>
      <w:tr>
        <w:tc>
          <w:tcPr>
            <w:tcW w:type="dxa" w:w="38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 Criteria — Sharpe</w:t>
            </w:r>
          </w:p>
        </w:tc>
        <w:tc>
          <w:tcPr>
            <w:tcW w:type="dxa" w:w="5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1.2</w:t>
            </w:r>
          </w:p>
        </w:tc>
      </w:tr>
      <w:tr>
        <w:tc>
          <w:tcPr>
            <w:tcW w:type="dxa" w:w="38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 Criteria — Profit Factor</w:t>
            </w:r>
          </w:p>
        </w:tc>
        <w:tc>
          <w:tcPr>
            <w:tcW w:type="dxa" w:w="5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1.6</w:t>
            </w:r>
          </w:p>
        </w:tc>
      </w:tr>
      <w:tr>
        <w:tc>
          <w:tcPr>
            <w:tcW w:type="dxa" w:w="38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Window Pass Rate Required</w:t>
            </w:r>
          </w:p>
        </w:tc>
        <w:tc>
          <w:tcPr>
            <w:tcW w:type="dxa" w:w="5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 of windows must pass</w:t>
            </w:r>
          </w:p>
        </w:tc>
      </w:tr>
    </w:tbl>
    <w:p>
      <w:pPr>
        <w:pStyle w:val="Heading2"/>
        <w:spacing w:after="120" w:before="240"/>
      </w:pPr>
      <w:r>
        <w:t xml:space="preserve">4.2 CPCV (Lopez de Prado)</w:t>
      </w:r>
    </w:p>
    <w:p>
      <w:pPr>
        <w:spacing w:after="120"/>
        <w:jc w:val="left"/>
      </w:pPr>
      <w:r>
        <w:rPr>
          <w:rFonts w:ascii="Arial" w:cs="Arial" w:eastAsia="Arial" w:hAnsi="Arial"/>
          <w:b w:val="false"/>
          <w:bCs w:val="false"/>
          <w:i w:val="false"/>
          <w:iCs w:val="false"/>
          <w:color w:val="333333"/>
          <w:sz w:val="22"/>
          <w:szCs w:val="22"/>
        </w:rPr>
        <w:t xml:space="preserve">Combinatorial Purged Cross-Validation (15 paths) was implemented from Marcos Lopez de Prado’s methodology. CPCV exposed significant temporal leakage in standard k-fold CV (AUC gap of 0.256), confirming that traditional ML cross-validation is unreliable for time-series financial data. The deflated Sharpe ratio test showed only 1 of 6 signals was individually statistically significant, reinforcing the need for portfolio-level diversification.</w:t>
      </w:r>
    </w:p>
    <w:p>
      <w:pPr>
        <w:pStyle w:val="Heading2"/>
        <w:spacing w:after="120" w:before="240"/>
      </w:pPr>
      <w:r>
        <w:t xml:space="preserve">4.3 Real-Data Validation Findings</w:t>
      </w:r>
    </w:p>
    <w:p>
      <w:pPr>
        <w:spacing w:after="120"/>
        <w:jc w:val="left"/>
      </w:pPr>
      <w:r>
        <w:rPr>
          <w:rFonts w:ascii="Arial" w:cs="Arial" w:eastAsia="Arial" w:hAnsi="Arial"/>
          <w:b w:val="false"/>
          <w:bCs w:val="false"/>
          <w:i w:val="false"/>
          <w:iCs w:val="false"/>
          <w:color w:val="333333"/>
          <w:sz w:val="22"/>
          <w:szCs w:val="22"/>
        </w:rPr>
        <w:t xml:space="preserve">A critical phase of development involved re-running all walk-forward tests on real NSE data (via Kite API) after initial development used synthetic/approximated data. Key findings:</w:t>
      </w:r>
    </w:p>
    <w:p>
      <w:pPr>
        <w:pStyle w:val="ListParagraph"/>
        <w:numPr>
          <w:ilvl w:val="0"/>
          <w:numId w:val="2"/>
        </w:numPr>
        <w:spacing w:after="60"/>
      </w:pPr>
      <w:r>
        <w:rPr>
          <w:rFonts w:ascii="Arial" w:cs="Arial" w:eastAsia="Arial" w:hAnsi="Arial"/>
          <w:b/>
          <w:bCs/>
          <w:color w:val="333333"/>
          <w:sz w:val="22"/>
          <w:szCs w:val="22"/>
        </w:rPr>
        <w:t xml:space="preserve">L8 Options: </w:t>
      </w:r>
      <w:r>
        <w:rPr>
          <w:rFonts w:ascii="Arial" w:cs="Arial" w:eastAsia="Arial" w:hAnsi="Arial"/>
          <w:color w:val="333333"/>
          <w:sz w:val="22"/>
          <w:szCs w:val="22"/>
        </w:rPr>
        <w:t xml:space="preserve">0 of 10 signals passed on real data (vs 2/10 on synthetic). Covered call dropped from 92% to 58% WF pass rate.</w:t>
      </w:r>
    </w:p>
    <w:p>
      <w:pPr>
        <w:pStyle w:val="ListParagraph"/>
        <w:numPr>
          <w:ilvl w:val="0"/>
          <w:numId w:val="2"/>
        </w:numPr>
        <w:spacing w:after="60"/>
      </w:pPr>
      <w:r>
        <w:rPr>
          <w:rFonts w:ascii="Arial" w:cs="Arial" w:eastAsia="Arial" w:hAnsi="Arial"/>
          <w:b/>
          <w:bCs/>
          <w:color w:val="333333"/>
          <w:sz w:val="22"/>
          <w:szCs w:val="22"/>
        </w:rPr>
        <w:t xml:space="preserve">L9 Intraday: </w:t>
      </w:r>
      <w:r>
        <w:rPr>
          <w:rFonts w:ascii="Arial" w:cs="Arial" w:eastAsia="Arial" w:hAnsi="Arial"/>
          <w:color w:val="333333"/>
          <w:sz w:val="22"/>
          <w:szCs w:val="22"/>
        </w:rPr>
        <w:t xml:space="preserve">0 of 18 signals passed initially. After fixing 4 critical bugs (fillna error, VIX filter too tight, ATR ratio too strict, volume=trade count on Kite), trade counts recovered but profit factors remained ~1.0 — confirming no genuine edge from Western TA patterns on NSE.</w:t>
      </w:r>
    </w:p>
    <w:p>
      <w:pPr>
        <w:pStyle w:val="ListParagraph"/>
        <w:numPr>
          <w:ilvl w:val="0"/>
          <w:numId w:val="2"/>
        </w:numPr>
        <w:spacing w:after="60"/>
      </w:pPr>
      <w:r>
        <w:rPr>
          <w:rFonts w:ascii="Arial" w:cs="Arial" w:eastAsia="Arial" w:hAnsi="Arial"/>
          <w:b/>
          <w:bCs/>
          <w:color w:val="333333"/>
          <w:sz w:val="22"/>
          <w:szCs w:val="22"/>
        </w:rPr>
        <w:t xml:space="preserve">India-specific replacements: </w:t>
      </w:r>
      <w:r>
        <w:rPr>
          <w:rFonts w:ascii="Arial" w:cs="Arial" w:eastAsia="Arial" w:hAnsi="Arial"/>
          <w:color w:val="333333"/>
          <w:sz w:val="22"/>
          <w:szCs w:val="22"/>
        </w:rPr>
        <w:t xml:space="preserve">EXPIRY_PIN_FADE (91% WR) and ORR_REVERSION (71% WR) were developed specifically for NSE microstructure and successfully passed walk-forward.</w:t>
      </w:r>
    </w:p>
    <w:p>
      <w:r>
        <w:br w:type="page"/>
      </w:r>
    </w:p>
    <w:p>
      <w:pPr>
        <w:pStyle w:val="Heading1"/>
        <w:spacing w:after="120" w:before="360"/>
      </w:pPr>
      <w:r>
        <w:t xml:space="preserve">5. Risk Management</w:t>
      </w:r>
    </w:p>
    <w:p>
      <w:pPr>
        <w:pStyle w:val="Heading2"/>
        <w:spacing w:after="120" w:before="240"/>
      </w:pPr>
      <w:r>
        <w:t xml:space="preserve">5.1 Position Sizing: Compound Tiered</w:t>
      </w:r>
    </w:p>
    <w:p>
      <w:pPr>
        <w:spacing w:after="120"/>
        <w:jc w:val="left"/>
      </w:pPr>
      <w:r>
        <w:rPr>
          <w:rFonts w:ascii="Arial" w:cs="Arial" w:eastAsia="Arial" w:hAnsi="Arial"/>
          <w:b w:val="false"/>
          <w:bCs w:val="false"/>
          <w:i w:val="false"/>
          <w:iCs w:val="false"/>
          <w:color w:val="333333"/>
          <w:sz w:val="22"/>
          <w:szCs w:val="22"/>
        </w:rPr>
        <w:t xml:space="preserve">The system uses a compound tiered position sizing algorithm, selected via A/B testing against 4 alternatives (fixed fractional, Kelly, equal weight, volatility parity). Compound tiered won on Calmar ratio (1.36) with CAGR 43.3% and MaxDD 31.9%.</w:t>
      </w:r>
    </w:p>
    <w:p>
      <w:pPr>
        <w:pStyle w:val="ListParagraph"/>
        <w:numPr>
          <w:ilvl w:val="0"/>
          <w:numId w:val="2"/>
        </w:numPr>
        <w:spacing w:after="60"/>
      </w:pPr>
      <w:r>
        <w:rPr>
          <w:rFonts w:ascii="Arial" w:cs="Arial" w:eastAsia="Arial" w:hAnsi="Arial"/>
          <w:b/>
          <w:bCs/>
          <w:color w:val="333333"/>
          <w:sz w:val="22"/>
          <w:szCs w:val="22"/>
        </w:rPr>
        <w:t xml:space="preserve">Weekly ratchet: </w:t>
      </w:r>
      <w:r>
        <w:rPr>
          <w:rFonts w:ascii="Arial" w:cs="Arial" w:eastAsia="Arial" w:hAnsi="Arial"/>
          <w:color w:val="333333"/>
          <w:sz w:val="22"/>
          <w:szCs w:val="22"/>
        </w:rPr>
        <w:t xml:space="preserve">Position sizes recalculated weekly based on trailing equity high-water mark.</w:t>
      </w:r>
    </w:p>
    <w:p>
      <w:pPr>
        <w:pStyle w:val="ListParagraph"/>
        <w:numPr>
          <w:ilvl w:val="0"/>
          <w:numId w:val="2"/>
        </w:numPr>
        <w:spacing w:after="60"/>
      </w:pPr>
      <w:r>
        <w:rPr>
          <w:rFonts w:ascii="Arial" w:cs="Arial" w:eastAsia="Arial" w:hAnsi="Arial"/>
          <w:b/>
          <w:bCs/>
          <w:color w:val="333333"/>
          <w:sz w:val="22"/>
          <w:szCs w:val="22"/>
        </w:rPr>
        <w:t xml:space="preserve">Equity tiers: </w:t>
      </w:r>
      <w:r>
        <w:rPr>
          <w:rFonts w:ascii="Arial" w:cs="Arial" w:eastAsia="Arial" w:hAnsi="Arial"/>
          <w:color w:val="333333"/>
          <w:sz w:val="22"/>
          <w:szCs w:val="22"/>
        </w:rPr>
        <w:t xml:space="preserve">Progressive sizing tiers that increase allocation as equity grows above defined thresholds.</w:t>
      </w:r>
    </w:p>
    <w:p>
      <w:pPr>
        <w:pStyle w:val="ListParagraph"/>
        <w:numPr>
          <w:ilvl w:val="0"/>
          <w:numId w:val="2"/>
        </w:numPr>
        <w:spacing w:after="60"/>
      </w:pPr>
      <w:r>
        <w:rPr>
          <w:rFonts w:ascii="Arial" w:cs="Arial" w:eastAsia="Arial" w:hAnsi="Arial"/>
          <w:b/>
          <w:bCs/>
          <w:color w:val="333333"/>
          <w:sz w:val="22"/>
          <w:szCs w:val="22"/>
        </w:rPr>
        <w:t xml:space="preserve">Drawdown protection: </w:t>
      </w:r>
      <w:r>
        <w:rPr>
          <w:rFonts w:ascii="Arial" w:cs="Arial" w:eastAsia="Arial" w:hAnsi="Arial"/>
          <w:color w:val="333333"/>
          <w:sz w:val="22"/>
          <w:szCs w:val="22"/>
        </w:rPr>
        <w:t xml:space="preserve">Automatic size reduction when drawdown exceeds tier-specific thresholds (e.g., 50% reduction at 15% DD, 75% at 25% DD).</w:t>
      </w:r>
    </w:p>
    <w:p>
      <w:pPr>
        <w:pStyle w:val="Heading2"/>
        <w:spacing w:after="120" w:before="240"/>
      </w:pPr>
      <w:r>
        <w:t xml:space="preserve">5.2 Behavioral Overlays (Kahneman)</w:t>
      </w:r>
    </w:p>
    <w:p>
      <w:pPr>
        <w:spacing w:after="120"/>
        <w:jc w:val="left"/>
      </w:pPr>
      <w:r>
        <w:rPr>
          <w:rFonts w:ascii="Arial" w:cs="Arial" w:eastAsia="Arial" w:hAnsi="Arial"/>
          <w:b w:val="false"/>
          <w:bCs w:val="false"/>
          <w:i w:val="false"/>
          <w:iCs w:val="false"/>
          <w:color w:val="333333"/>
          <w:sz w:val="22"/>
          <w:szCs w:val="22"/>
        </w:rPr>
        <w:t xml:space="preserve">Four behavioral finance overlays from Daniel Kahneman’s work counteract systematic cognitive biases:</w:t>
      </w:r>
    </w:p>
    <w:p>
      <w:pPr>
        <w:pStyle w:val="ListParagraph"/>
        <w:numPr>
          <w:ilvl w:val="0"/>
          <w:numId w:val="2"/>
        </w:numPr>
        <w:spacing w:after="60"/>
      </w:pPr>
      <w:r>
        <w:rPr>
          <w:rFonts w:ascii="Arial" w:cs="Arial" w:eastAsia="Arial" w:hAnsi="Arial"/>
          <w:b/>
          <w:bCs/>
          <w:color w:val="333333"/>
          <w:sz w:val="22"/>
          <w:szCs w:val="22"/>
        </w:rPr>
        <w:t xml:space="preserve">Loss Aversion Corrector: </w:t>
      </w:r>
      <w:r>
        <w:rPr>
          <w:rFonts w:ascii="Arial" w:cs="Arial" w:eastAsia="Arial" w:hAnsi="Arial"/>
          <w:color w:val="333333"/>
          <w:sz w:val="22"/>
          <w:szCs w:val="22"/>
        </w:rPr>
        <w:t xml:space="preserve">Prevents premature profit-taking driven by prospect theory. Enforces minimum holding period after signal entry.</w:t>
      </w:r>
    </w:p>
    <w:p>
      <w:pPr>
        <w:pStyle w:val="ListParagraph"/>
        <w:numPr>
          <w:ilvl w:val="0"/>
          <w:numId w:val="2"/>
        </w:numPr>
        <w:spacing w:after="60"/>
      </w:pPr>
      <w:r>
        <w:rPr>
          <w:rFonts w:ascii="Arial" w:cs="Arial" w:eastAsia="Arial" w:hAnsi="Arial"/>
          <w:b/>
          <w:bCs/>
          <w:color w:val="333333"/>
          <w:sz w:val="22"/>
          <w:szCs w:val="22"/>
        </w:rPr>
        <w:t xml:space="preserve">Disposition Effect Blocker: </w:t>
      </w:r>
      <w:r>
        <w:rPr>
          <w:rFonts w:ascii="Arial" w:cs="Arial" w:eastAsia="Arial" w:hAnsi="Arial"/>
          <w:color w:val="333333"/>
          <w:sz w:val="22"/>
          <w:szCs w:val="22"/>
        </w:rPr>
        <w:t xml:space="preserve">Blocks the tendency to sell winners too early and hold losers too long. Overrides manual exit bias with systematic exit rules.</w:t>
      </w:r>
    </w:p>
    <w:p>
      <w:pPr>
        <w:pStyle w:val="ListParagraph"/>
        <w:numPr>
          <w:ilvl w:val="0"/>
          <w:numId w:val="2"/>
        </w:numPr>
        <w:spacing w:after="60"/>
      </w:pPr>
      <w:r>
        <w:rPr>
          <w:rFonts w:ascii="Arial" w:cs="Arial" w:eastAsia="Arial" w:hAnsi="Arial"/>
          <w:b/>
          <w:bCs/>
          <w:color w:val="333333"/>
          <w:sz w:val="22"/>
          <w:szCs w:val="22"/>
        </w:rPr>
        <w:t xml:space="preserve">Anchoring Detector: </w:t>
      </w:r>
      <w:r>
        <w:rPr>
          <w:rFonts w:ascii="Arial" w:cs="Arial" w:eastAsia="Arial" w:hAnsi="Arial"/>
          <w:color w:val="333333"/>
          <w:sz w:val="22"/>
          <w:szCs w:val="22"/>
        </w:rPr>
        <w:t xml:space="preserve">Detects when recent P&amp;L anchors influence sizing decisions. Normalizes sizing relative to current volatility, not recent outcomes.</w:t>
      </w:r>
    </w:p>
    <w:p>
      <w:pPr>
        <w:pStyle w:val="ListParagraph"/>
        <w:numPr>
          <w:ilvl w:val="0"/>
          <w:numId w:val="2"/>
        </w:numPr>
        <w:spacing w:after="60"/>
      </w:pPr>
      <w:r>
        <w:rPr>
          <w:rFonts w:ascii="Arial" w:cs="Arial" w:eastAsia="Arial" w:hAnsi="Arial"/>
          <w:b/>
          <w:bCs/>
          <w:color w:val="333333"/>
          <w:sz w:val="22"/>
          <w:szCs w:val="22"/>
        </w:rPr>
        <w:t xml:space="preserve">Overconfidence Dampener: </w:t>
      </w:r>
      <w:r>
        <w:rPr>
          <w:rFonts w:ascii="Arial" w:cs="Arial" w:eastAsia="Arial" w:hAnsi="Arial"/>
          <w:color w:val="333333"/>
          <w:sz w:val="22"/>
          <w:szCs w:val="22"/>
        </w:rPr>
        <w:t xml:space="preserve">Reduces position sizes after a winning streak (&gt;5 consecutive wins) to counteract overconfidence bias.</w:t>
      </w:r>
    </w:p>
    <w:p>
      <w:pPr>
        <w:pStyle w:val="Heading2"/>
        <w:spacing w:after="120" w:before="240"/>
      </w:pPr>
      <w:r>
        <w:t xml:space="preserve">5.3 India-Specific Risk Guards</w:t>
      </w:r>
    </w:p>
    <w:p>
      <w:pPr>
        <w:pStyle w:val="ListParagraph"/>
        <w:numPr>
          <w:ilvl w:val="0"/>
          <w:numId w:val="2"/>
        </w:numPr>
        <w:spacing w:after="60"/>
      </w:pPr>
      <w:r>
        <w:rPr>
          <w:rFonts w:ascii="Arial" w:cs="Arial" w:eastAsia="Arial" w:hAnsi="Arial"/>
          <w:b/>
          <w:bCs/>
          <w:color w:val="333333"/>
          <w:sz w:val="22"/>
          <w:szCs w:val="22"/>
        </w:rPr>
        <w:t xml:space="preserve">Circuit breaker proximity: </w:t>
      </w:r>
      <w:r>
        <w:rPr>
          <w:rFonts w:ascii="Arial" w:cs="Arial" w:eastAsia="Arial" w:hAnsi="Arial"/>
          <w:color w:val="333333"/>
          <w:sz w:val="22"/>
          <w:szCs w:val="22"/>
        </w:rPr>
        <w:t xml:space="preserve">Monitors Nifty distance to upper/lower circuit limits. Reduces exposure when within 3% of circuit trigger levels.</w:t>
      </w:r>
    </w:p>
    <w:p>
      <w:pPr>
        <w:pStyle w:val="ListParagraph"/>
        <w:numPr>
          <w:ilvl w:val="0"/>
          <w:numId w:val="2"/>
        </w:numPr>
        <w:spacing w:after="60"/>
      </w:pPr>
      <w:r>
        <w:rPr>
          <w:rFonts w:ascii="Arial" w:cs="Arial" w:eastAsia="Arial" w:hAnsi="Arial"/>
          <w:b/>
          <w:bCs/>
          <w:color w:val="333333"/>
          <w:sz w:val="22"/>
          <w:szCs w:val="22"/>
        </w:rPr>
        <w:t xml:space="preserve">Consecutive loss halt: </w:t>
      </w:r>
      <w:r>
        <w:rPr>
          <w:rFonts w:ascii="Arial" w:cs="Arial" w:eastAsia="Arial" w:hAnsi="Arial"/>
          <w:color w:val="333333"/>
          <w:sz w:val="22"/>
          <w:szCs w:val="22"/>
        </w:rPr>
        <w:t xml:space="preserve">Pauses trading after N consecutive losses (configurable, default 5) for a cooldown period.</w:t>
      </w:r>
    </w:p>
    <w:p>
      <w:pPr>
        <w:pStyle w:val="ListParagraph"/>
        <w:numPr>
          <w:ilvl w:val="0"/>
          <w:numId w:val="2"/>
        </w:numPr>
        <w:spacing w:after="60"/>
      </w:pPr>
      <w:r>
        <w:rPr>
          <w:rFonts w:ascii="Arial" w:cs="Arial" w:eastAsia="Arial" w:hAnsi="Arial"/>
          <w:b/>
          <w:bCs/>
          <w:color w:val="333333"/>
          <w:sz w:val="22"/>
          <w:szCs w:val="22"/>
        </w:rPr>
        <w:t xml:space="preserve">VIX regime gating: </w:t>
      </w:r>
      <w:r>
        <w:rPr>
          <w:rFonts w:ascii="Arial" w:cs="Arial" w:eastAsia="Arial" w:hAnsi="Arial"/>
          <w:color w:val="333333"/>
          <w:sz w:val="22"/>
          <w:szCs w:val="22"/>
        </w:rPr>
        <w:t xml:space="preserve">Maps India VIX to 5 regimes (CALM &lt;13, NORMAL 13–18, ELEVATED 18–24, HIGH_VOL 24–32, CRISIS &gt;32) with 1.5-point hysteresis. Disables new entries in CRISIS regime.</w:t>
      </w:r>
    </w:p>
    <w:p>
      <w:r>
        <w:br w:type="page"/>
      </w:r>
    </w:p>
    <w:p>
      <w:pPr>
        <w:pStyle w:val="Heading1"/>
        <w:spacing w:after="120" w:before="360"/>
      </w:pPr>
      <w:r>
        <w:t xml:space="preserve">6. Options Engine (L8)</w:t>
      </w:r>
    </w:p>
    <w:p>
      <w:pPr>
        <w:pStyle w:val="Heading2"/>
        <w:spacing w:after="120" w:before="240"/>
      </w:pPr>
      <w:r>
        <w:t xml:space="preserve">6.1 Credit Spread Executor</w:t>
      </w:r>
    </w:p>
    <w:p>
      <w:pPr>
        <w:spacing w:after="120"/>
        <w:jc w:val="left"/>
      </w:pPr>
      <w:r>
        <w:rPr>
          <w:rFonts w:ascii="Arial" w:cs="Arial" w:eastAsia="Arial" w:hAnsi="Arial"/>
          <w:b w:val="false"/>
          <w:bCs w:val="false"/>
          <w:i w:val="false"/>
          <w:iCs w:val="false"/>
          <w:color w:val="333333"/>
          <w:sz w:val="22"/>
          <w:szCs w:val="22"/>
        </w:rPr>
        <w:t xml:space="preserve">A 1,660-line execution engine for constructing credit spread positions on NSE Nifty options. Features include:</w:t>
      </w:r>
    </w:p>
    <w:p>
      <w:pPr>
        <w:pStyle w:val="ListParagraph"/>
        <w:numPr>
          <w:ilvl w:val="0"/>
          <w:numId w:val="2"/>
        </w:numPr>
        <w:spacing w:after="60"/>
      </w:pPr>
      <w:r>
        <w:rPr>
          <w:rFonts w:ascii="Arial" w:cs="Arial" w:eastAsia="Arial" w:hAnsi="Arial"/>
          <w:color w:val="333333"/>
          <w:sz w:val="22"/>
          <w:szCs w:val="22"/>
        </w:rPr>
        <w:t xml:space="preserve">Automatic strike selection based on delta targets and available chain</w:t>
      </w:r>
    </w:p>
    <w:p>
      <w:pPr>
        <w:pStyle w:val="ListParagraph"/>
        <w:numPr>
          <w:ilvl w:val="0"/>
          <w:numId w:val="2"/>
        </w:numPr>
        <w:spacing w:after="60"/>
      </w:pPr>
      <w:r>
        <w:rPr>
          <w:rFonts w:ascii="Arial" w:cs="Arial" w:eastAsia="Arial" w:hAnsi="Arial"/>
          <w:color w:val="333333"/>
          <w:sz w:val="22"/>
          <w:szCs w:val="22"/>
        </w:rPr>
        <w:t xml:space="preserve">SPAN-approximated margin calculation (323-line margin calculator)</w:t>
      </w:r>
    </w:p>
    <w:p>
      <w:pPr>
        <w:pStyle w:val="ListParagraph"/>
        <w:numPr>
          <w:ilvl w:val="0"/>
          <w:numId w:val="2"/>
        </w:numPr>
        <w:spacing w:after="60"/>
      </w:pPr>
      <w:r>
        <w:rPr>
          <w:rFonts w:ascii="Arial" w:cs="Arial" w:eastAsia="Arial" w:hAnsi="Arial"/>
          <w:color w:val="333333"/>
          <w:sz w:val="22"/>
          <w:szCs w:val="22"/>
        </w:rPr>
        <w:t xml:space="preserve">Per-position and portfolio-level theta tracking (357-line theta tracker)</w:t>
      </w:r>
    </w:p>
    <w:p>
      <w:pPr>
        <w:pStyle w:val="ListParagraph"/>
        <w:numPr>
          <w:ilvl w:val="0"/>
          <w:numId w:val="2"/>
        </w:numPr>
        <w:spacing w:after="60"/>
      </w:pPr>
      <w:r>
        <w:rPr>
          <w:rFonts w:ascii="Arial" w:cs="Arial" w:eastAsia="Arial" w:hAnsi="Arial"/>
          <w:color w:val="333333"/>
          <w:sz w:val="22"/>
          <w:szCs w:val="22"/>
        </w:rPr>
        <w:t xml:space="preserve">Black-Scholes synthetic fallback for backtesting when historical chain data is unavailable</w:t>
      </w:r>
    </w:p>
    <w:p>
      <w:pPr>
        <w:pStyle w:val="Heading2"/>
        <w:spacing w:after="120" w:before="240"/>
      </w:pPr>
      <w:r>
        <w:t xml:space="preserve">6.2 IV Rank Filter</w:t>
      </w:r>
    </w:p>
    <w:p>
      <w:pPr>
        <w:spacing w:after="120"/>
        <w:jc w:val="left"/>
      </w:pPr>
      <w:r>
        <w:rPr>
          <w:rFonts w:ascii="Arial" w:cs="Arial" w:eastAsia="Arial" w:hAnsi="Arial"/>
          <w:b w:val="false"/>
          <w:bCs w:val="false"/>
          <w:i w:val="false"/>
          <w:iCs w:val="false"/>
          <w:color w:val="333333"/>
          <w:sz w:val="22"/>
          <w:szCs w:val="22"/>
        </w:rPr>
        <w:t xml:space="preserve">The IV rank filter (271 lines) computes implied volatility rank and percentile from 252-day rolling India VIX data. It provides regime-dependent entry gating: sell strategies require IV rank &gt; 50, buy strategies require IV rank &lt; 30.</w:t>
      </w:r>
    </w:p>
    <w:p>
      <w:pPr>
        <w:pStyle w:val="Heading2"/>
        <w:spacing w:after="120" w:before="240"/>
      </w:pPr>
      <w:r>
        <w:t xml:space="preserve">6.3 Max Pain Calculator</w:t>
      </w:r>
    </w:p>
    <w:p>
      <w:pPr>
        <w:spacing w:after="120"/>
        <w:jc w:val="left"/>
      </w:pPr>
      <w:r>
        <w:rPr>
          <w:rFonts w:ascii="Arial" w:cs="Arial" w:eastAsia="Arial" w:hAnsi="Arial"/>
          <w:b w:val="false"/>
          <w:bCs w:val="false"/>
          <w:i w:val="false"/>
          <w:iCs w:val="false"/>
          <w:color w:val="333333"/>
          <w:sz w:val="22"/>
          <w:szCs w:val="22"/>
        </w:rPr>
        <w:t xml:space="preserve">A 765-line max pain engine computes the strike price at which total option buyer losses are maximized. Features OI buildup tracking and strike clustering analysis. While the directional max pain signal (STRIKE_CLUSTERING_GRAV) failed walk-forward (PF 0.20), the max pain level feeds into the EXPIRY_PIN_FADE intraday signal.</w:t>
      </w:r>
    </w:p>
    <w:p>
      <w:pPr>
        <w:pStyle w:val="Heading2"/>
        <w:spacing w:after="120" w:before="240"/>
      </w:pPr>
      <w:r>
        <w:t xml:space="preserve">6.4 Weekly Strangle Seller</w:t>
      </w:r>
    </w:p>
    <w:p>
      <w:pPr>
        <w:spacing w:after="120"/>
        <w:jc w:val="left"/>
      </w:pPr>
      <w:r>
        <w:rPr>
          <w:rFonts w:ascii="Arial" w:cs="Arial" w:eastAsia="Arial" w:hAnsi="Arial"/>
          <w:b w:val="false"/>
          <w:bCs w:val="false"/>
          <w:i w:val="false"/>
          <w:iCs w:val="false"/>
          <w:color w:val="333333"/>
          <w:sz w:val="22"/>
          <w:szCs w:val="22"/>
        </w:rPr>
        <w:t xml:space="preserve">A 659-line strangle selling system gated by IV rank. Sells weekly Nifty strangles when IV rank exceeds defined thresholds, with FII/DII divergence used as a sizing booster. Currently in SHADOW status due to insufficient trade count in walk-forward (12 trades across the test period).</w:t>
      </w:r>
    </w:p>
    <w:p>
      <w:pPr>
        <w:pStyle w:val="Heading2"/>
        <w:spacing w:after="120" w:before="240"/>
      </w:pPr>
      <w:r>
        <w:t xml:space="preserve">6.5 NSE Options Landscape Note</w:t>
      </w:r>
    </w:p>
    <w:p>
      <w:pPr>
        <w:spacing w:after="120"/>
        <w:jc w:val="left"/>
      </w:pPr>
      <w:r>
        <w:rPr>
          <w:rFonts w:ascii="Arial" w:cs="Arial" w:eastAsia="Arial" w:hAnsi="Arial"/>
          <w:b w:val="false"/>
          <w:bCs w:val="false"/>
          <w:i w:val="false"/>
          <w:iCs w:val="false"/>
          <w:color w:val="333333"/>
          <w:sz w:val="22"/>
          <w:szCs w:val="22"/>
        </w:rPr>
        <w:t xml:space="preserve">NSE discontinued weekly options for BankNifty, FinNifty, and MidcapNifty in November 2024. Only Nifty weekly options remain available. The system is designed exclusively around Nifty weeklies for options strategies.</w:t>
      </w:r>
    </w:p>
    <w:p>
      <w:r>
        <w:br w:type="page"/>
      </w:r>
    </w:p>
    <w:p>
      <w:pPr>
        <w:pStyle w:val="Heading1"/>
        <w:spacing w:after="120" w:before="360"/>
      </w:pPr>
      <w:r>
        <w:t xml:space="preserve">7. Intraday Engine (L9)</w:t>
      </w:r>
    </w:p>
    <w:p>
      <w:pPr>
        <w:pStyle w:val="Heading2"/>
        <w:spacing w:after="120" w:before="240"/>
      </w:pPr>
      <w:r>
        <w:t xml:space="preserve">7.1 India-Specific Signals</w:t>
      </w:r>
    </w:p>
    <w:p>
      <w:pPr>
        <w:spacing w:after="120"/>
        <w:jc w:val="left"/>
      </w:pPr>
      <w:r>
        <w:rPr>
          <w:rFonts w:ascii="Arial" w:cs="Arial" w:eastAsia="Arial" w:hAnsi="Arial"/>
          <w:b w:val="false"/>
          <w:bCs w:val="false"/>
          <w:i w:val="false"/>
          <w:iCs w:val="false"/>
          <w:color w:val="333333"/>
          <w:sz w:val="22"/>
          <w:szCs w:val="22"/>
        </w:rPr>
        <w:t xml:space="preserve">After Western technical analysis patterns (Al Brooks, ORB breakout, VWAP rejection) proved ineffective on NSE data, five India-specific intraday signals were developed: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352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Win Rate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PF</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35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EXPIRY_PIN_FADE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14.53</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SCORING</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Expiry day mean-reversion to max pain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ORR_REVERSION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SCORING</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Opening range overextension reversion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VIX_CRUSH_ENTRY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FAILED</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Post-event VIX crush exploitation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BUDGET_STRADDLE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FAILED</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Budget day straddle entry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FII_FLOW_INTRADAY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FAILED</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Intraday FII flow momentum</w:t>
            </w:r>
          </w:p>
        </w:tc>
      </w:tr>
    </w:tbl>
    <w:p>
      <w:pPr>
        <w:pStyle w:val="Heading2"/>
        <w:spacing w:after="120" w:before="240"/>
      </w:pPr>
      <w:r>
        <w:t xml:space="preserve">7.2 Intraday Data Pipeline</w:t>
      </w:r>
    </w:p>
    <w:p>
      <w:pPr>
        <w:spacing w:after="120"/>
        <w:jc w:val="left"/>
      </w:pPr>
      <w:r>
        <w:rPr>
          <w:rFonts w:ascii="Arial" w:cs="Arial" w:eastAsia="Arial" w:hAnsi="Arial"/>
          <w:b w:val="false"/>
          <w:bCs w:val="false"/>
          <w:i w:val="false"/>
          <w:iCs w:val="false"/>
          <w:color w:val="333333"/>
          <w:sz w:val="22"/>
          <w:szCs w:val="22"/>
        </w:rPr>
        <w:t xml:space="preserve">Intraday data is sourced from Zerodha Kite’s historical API, with a 459-line backfill utility that handles rate limits, date chunking, and gap detection. 1-minute and 5-minute bars are stored in PostgreSQL with the schema defined in migration 006_intraday_bars.sql.</w:t>
      </w:r>
    </w:p>
    <w:p>
      <w:r>
        <w:br w:type="page"/>
      </w:r>
    </w:p>
    <w:p>
      <w:pPr>
        <w:pStyle w:val="Heading1"/>
        <w:spacing w:after="120" w:before="360"/>
      </w:pPr>
      <w:r>
        <w:t xml:space="preserve">8. FII/DII Analysis Pipeline</w:t>
      </w:r>
    </w:p>
    <w:p>
      <w:pPr>
        <w:spacing w:after="120"/>
        <w:jc w:val="left"/>
      </w:pPr>
      <w:r>
        <w:rPr>
          <w:rFonts w:ascii="Arial" w:cs="Arial" w:eastAsia="Arial" w:hAnsi="Arial"/>
          <w:b w:val="false"/>
          <w:bCs w:val="false"/>
          <w:i w:val="false"/>
          <w:iCs w:val="false"/>
          <w:color w:val="333333"/>
          <w:sz w:val="22"/>
          <w:szCs w:val="22"/>
        </w:rPr>
        <w:t xml:space="preserve">The FII (Foreign Institutional Investor) and DII (Domestic Institutional Investor) analysis subsystem provides institutional flow intelligence:</w:t>
      </w:r>
    </w:p>
    <w:p>
      <w:pPr>
        <w:pStyle w:val="ListParagraph"/>
        <w:numPr>
          <w:ilvl w:val="0"/>
          <w:numId w:val="2"/>
        </w:numPr>
        <w:spacing w:after="60"/>
      </w:pPr>
      <w:r>
        <w:rPr>
          <w:rFonts w:ascii="Arial" w:cs="Arial" w:eastAsia="Arial" w:hAnsi="Arial"/>
          <w:b/>
          <w:bCs/>
          <w:color w:val="333333"/>
          <w:sz w:val="22"/>
          <w:szCs w:val="22"/>
        </w:rPr>
        <w:t xml:space="preserve">Daily pipeline (fii/daily_pipeline.py): </w:t>
      </w:r>
      <w:r>
        <w:rPr>
          <w:rFonts w:ascii="Arial" w:cs="Arial" w:eastAsia="Arial" w:hAnsi="Arial"/>
          <w:color w:val="333333"/>
          <w:sz w:val="22"/>
          <w:szCs w:val="22"/>
        </w:rPr>
        <w:t xml:space="preserve">Downloads daily FII/DII cash and derivative segment data from NSE. Runs at 6:30 PM IST via cron.</w:t>
      </w:r>
    </w:p>
    <w:p>
      <w:pPr>
        <w:pStyle w:val="ListParagraph"/>
        <w:numPr>
          <w:ilvl w:val="0"/>
          <w:numId w:val="2"/>
        </w:numPr>
        <w:spacing w:after="60"/>
      </w:pPr>
      <w:r>
        <w:rPr>
          <w:rFonts w:ascii="Arial" w:cs="Arial" w:eastAsia="Arial" w:hAnsi="Arial"/>
          <w:b/>
          <w:bCs/>
          <w:color w:val="333333"/>
          <w:sz w:val="22"/>
          <w:szCs w:val="22"/>
        </w:rPr>
        <w:t xml:space="preserve">Historical backfill (fii/backfill.py, 280 lines): </w:t>
      </w:r>
      <w:r>
        <w:rPr>
          <w:rFonts w:ascii="Arial" w:cs="Arial" w:eastAsia="Arial" w:hAnsi="Arial"/>
          <w:color w:val="333333"/>
          <w:sz w:val="22"/>
          <w:szCs w:val="22"/>
        </w:rPr>
        <w:t xml:space="preserve">Backfills 6 months of historical FII data with pattern detection for divergence identification.</w:t>
      </w:r>
    </w:p>
    <w:p>
      <w:pPr>
        <w:pStyle w:val="ListParagraph"/>
        <w:numPr>
          <w:ilvl w:val="0"/>
          <w:numId w:val="2"/>
        </w:numPr>
        <w:spacing w:after="60"/>
      </w:pPr>
      <w:r>
        <w:rPr>
          <w:rFonts w:ascii="Arial" w:cs="Arial" w:eastAsia="Arial" w:hAnsi="Arial"/>
          <w:b/>
          <w:bCs/>
          <w:color w:val="333333"/>
          <w:sz w:val="22"/>
          <w:szCs w:val="22"/>
        </w:rPr>
        <w:t xml:space="preserve">FII overlay (signals/fii_overlay.py): </w:t>
      </w:r>
      <w:r>
        <w:rPr>
          <w:rFonts w:ascii="Arial" w:cs="Arial" w:eastAsia="Arial" w:hAnsi="Arial"/>
          <w:color w:val="333333"/>
          <w:sz w:val="22"/>
          <w:szCs w:val="22"/>
        </w:rPr>
        <w:t xml:space="preserve">Computes 5-day rolling flow momentum, detects FII/DII divergence regimes, and generates confidence-weighted overlays for daily signal scoring.</w:t>
      </w:r>
    </w:p>
    <w:p>
      <w:pPr>
        <w:pStyle w:val="ListParagraph"/>
        <w:numPr>
          <w:ilvl w:val="0"/>
          <w:numId w:val="2"/>
        </w:numPr>
        <w:spacing w:after="60"/>
      </w:pPr>
      <w:r>
        <w:rPr>
          <w:rFonts w:ascii="Arial" w:cs="Arial" w:eastAsia="Arial" w:hAnsi="Arial"/>
          <w:b/>
          <w:bCs/>
          <w:color w:val="333333"/>
          <w:sz w:val="22"/>
          <w:szCs w:val="22"/>
        </w:rPr>
        <w:t xml:space="preserve">PCR validator (data/pcr_validator.py, 150 lines): </w:t>
      </w:r>
      <w:r>
        <w:rPr>
          <w:rFonts w:ascii="Arial" w:cs="Arial" w:eastAsia="Arial" w:hAnsi="Arial"/>
          <w:color w:val="333333"/>
          <w:sz w:val="22"/>
          <w:szCs w:val="22"/>
        </w:rPr>
        <w:t xml:space="preserve">Put-call ratio regime mapping with FII alignment scoring. Cross-validates FII flow signals with options market sentiment.</w:t>
      </w:r>
    </w:p>
    <w:p>
      <w:r>
        <w:br w:type="page"/>
      </w:r>
    </w:p>
    <w:p>
      <w:pPr>
        <w:pStyle w:val="Heading1"/>
        <w:spacing w:after="120" w:before="360"/>
      </w:pPr>
      <w:r>
        <w:t xml:space="preserve">9. Robustness Testing Suite</w:t>
      </w:r>
    </w:p>
    <w:p>
      <w:pPr>
        <w:spacing w:after="120"/>
        <w:jc w:val="left"/>
      </w:pPr>
      <w:r>
        <w:rPr>
          <w:rFonts w:ascii="Arial" w:cs="Arial" w:eastAsia="Arial" w:hAnsi="Arial"/>
          <w:b w:val="false"/>
          <w:bCs w:val="false"/>
          <w:i w:val="false"/>
          <w:iCs w:val="false"/>
          <w:color w:val="333333"/>
          <w:sz w:val="22"/>
          <w:szCs w:val="22"/>
        </w:rPr>
        <w:t xml:space="preserve">A 5-component robustness suite validates signal integrity beyond standard walk-forward: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302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Test</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Result</w:t>
            </w:r>
          </w:p>
        </w:tc>
        <w:tc>
          <w:tcPr>
            <w:tcW w:type="dxa" w:w="30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Monte Carlo Permutation</w:t>
            </w:r>
          </w:p>
        </w:tc>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Needs Live Data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 = 0.95 (needs real trades)</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10K random permutations testing signal significance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Bootstrap CI</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Sharpe CI: [9.5, 12.3]</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Bootstrap confidence intervals on Sharpe ratio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Stress Test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Survived all scenarios</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Historical + synthetic stress scenarios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Slippage Sensitivity</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Breakeven at 0.291%</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Degradation analysis across slippage levels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OOS Holdout</w:t>
            </w:r>
          </w:p>
        </w:tc>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Needs Live Data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Pending real trades</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True out-of-sample holdout validation</w:t>
            </w:r>
          </w:p>
        </w:tc>
      </w:tr>
    </w:tbl>
    <w:p>
      <w:pPr>
        <w:spacing w:after="6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val="false"/>
          <w:iCs w:val="false"/>
          <w:color w:val="333333"/>
          <w:sz w:val="22"/>
          <w:szCs w:val="22"/>
        </w:rPr>
        <w:t xml:space="preserve">The Monte Carlo and OOS holdout tests require real paper trading data to be conclusive. Current results used proxy returns from backtest data, which are structurally different from live fills.</w:t>
      </w:r>
    </w:p>
    <w:p>
      <w:r>
        <w:br w:type="page"/>
      </w:r>
    </w:p>
    <w:p>
      <w:pPr>
        <w:pStyle w:val="Heading1"/>
        <w:spacing w:after="120" w:before="360"/>
      </w:pPr>
      <w:r>
        <w:t xml:space="preserve">10. Production Infrastructure</w:t>
      </w:r>
    </w:p>
    <w:p>
      <w:pPr>
        <w:pStyle w:val="Heading2"/>
        <w:spacing w:after="120" w:before="240"/>
      </w:pPr>
      <w:r>
        <w:t xml:space="preserve">10.1 Crash Recovery</w:t>
      </w:r>
    </w:p>
    <w:p>
      <w:pPr>
        <w:spacing w:after="120"/>
        <w:jc w:val="left"/>
      </w:pPr>
      <w:r>
        <w:rPr>
          <w:rFonts w:ascii="Arial" w:cs="Arial" w:eastAsia="Arial" w:hAnsi="Arial"/>
          <w:b w:val="false"/>
          <w:bCs w:val="false"/>
          <w:i w:val="false"/>
          <w:iCs w:val="false"/>
          <w:color w:val="333333"/>
          <w:sz w:val="22"/>
          <w:szCs w:val="22"/>
        </w:rPr>
        <w:t xml:space="preserve">The crash recovery system (execution/crash_recovery.py, 552 lines) maintains an intent table in PostgreSQL. Before every order submission, intent is written to the DB. On startup, the system scans for unresolved intents and reconciles against broker state, ensuring no orphaned positions or double-fills.</w:t>
      </w:r>
    </w:p>
    <w:p>
      <w:pPr>
        <w:pStyle w:val="Heading2"/>
        <w:spacing w:after="120" w:before="240"/>
      </w:pPr>
      <w:r>
        <w:t xml:space="preserve">10.2 Session Reconciler</w:t>
      </w:r>
    </w:p>
    <w:p>
      <w:pPr>
        <w:spacing w:after="120"/>
        <w:jc w:val="left"/>
      </w:pPr>
      <w:r>
        <w:rPr>
          <w:rFonts w:ascii="Arial" w:cs="Arial" w:eastAsia="Arial" w:hAnsi="Arial"/>
          <w:b w:val="false"/>
          <w:bCs w:val="false"/>
          <w:i w:val="false"/>
          <w:iCs w:val="false"/>
          <w:color w:val="333333"/>
          <w:sz w:val="22"/>
          <w:szCs w:val="22"/>
        </w:rPr>
        <w:t xml:space="preserve">A background thread (execution/session_reconciler.py, 472 lines) runs every 15 minutes during market hours, comparing local position state against the broker’s order book. Discrepancies trigger alerts and automatic correction where safe.</w:t>
      </w:r>
    </w:p>
    <w:p>
      <w:pPr>
        <w:pStyle w:val="Heading2"/>
        <w:spacing w:after="120" w:before="240"/>
      </w:pPr>
      <w:r>
        <w:t xml:space="preserve">10.3 Database Connection Pool</w:t>
      </w:r>
    </w:p>
    <w:p>
      <w:pPr>
        <w:spacing w:after="120"/>
        <w:jc w:val="left"/>
      </w:pPr>
      <w:r>
        <w:rPr>
          <w:rFonts w:ascii="Arial" w:cs="Arial" w:eastAsia="Arial" w:hAnsi="Arial"/>
          <w:b w:val="false"/>
          <w:bCs w:val="false"/>
          <w:i w:val="false"/>
          <w:iCs w:val="false"/>
          <w:color w:val="333333"/>
          <w:sz w:val="22"/>
          <w:szCs w:val="22"/>
        </w:rPr>
        <w:t xml:space="preserve">PostgreSQL connections are managed via a ThreadedConnectionPool (db/connection.py, 113 lines) with automatic reconnection on failure. This prevents connection exhaustion during high-frequency intraday operations.</w:t>
      </w:r>
    </w:p>
    <w:p>
      <w:pPr>
        <w:pStyle w:val="Heading2"/>
        <w:spacing w:after="120" w:before="240"/>
      </w:pPr>
      <w:r>
        <w:t xml:space="preserve">10.4 Non-Blocking Telegram Alerts</w:t>
      </w:r>
    </w:p>
    <w:p>
      <w:pPr>
        <w:spacing w:after="120"/>
        <w:jc w:val="left"/>
      </w:pPr>
      <w:r>
        <w:rPr>
          <w:rFonts w:ascii="Arial" w:cs="Arial" w:eastAsia="Arial" w:hAnsi="Arial"/>
          <w:b w:val="false"/>
          <w:bCs w:val="false"/>
          <w:i w:val="false"/>
          <w:iCs w:val="false"/>
          <w:color w:val="333333"/>
          <w:sz w:val="22"/>
          <w:szCs w:val="22"/>
        </w:rPr>
        <w:t xml:space="preserve">The Telegram alerter (monitoring/telegram_alerter.py) uses a queue-based, daemon-thread architecture. Alerts are enqueued with priority levels (critical/normal/low) and delivered asynchronously. Submit latency is ~0.02ms, ensuring the trading critical path is never blocked by network I/O.</w:t>
      </w:r>
    </w:p>
    <w:p>
      <w:pPr>
        <w:pStyle w:val="ListParagraph"/>
        <w:numPr>
          <w:ilvl w:val="0"/>
          <w:numId w:val="2"/>
        </w:numPr>
        <w:spacing w:after="60"/>
      </w:pPr>
      <w:r>
        <w:rPr>
          <w:rFonts w:ascii="Arial" w:cs="Arial" w:eastAsia="Arial" w:hAnsi="Arial"/>
          <w:b/>
          <w:bCs/>
          <w:color w:val="333333"/>
          <w:sz w:val="22"/>
          <w:szCs w:val="22"/>
        </w:rPr>
        <w:t xml:space="preserve">Critical alerts: </w:t>
      </w:r>
      <w:r>
        <w:rPr>
          <w:rFonts w:ascii="Arial" w:cs="Arial" w:eastAsia="Arial" w:hAnsi="Arial"/>
          <w:color w:val="333333"/>
          <w:sz w:val="22"/>
          <w:szCs w:val="22"/>
        </w:rPr>
        <w:t xml:space="preserve">Retry once with 10s timeout. Falls back to local file if still failing.</w:t>
      </w:r>
    </w:p>
    <w:p>
      <w:pPr>
        <w:pStyle w:val="ListParagraph"/>
        <w:numPr>
          <w:ilvl w:val="0"/>
          <w:numId w:val="2"/>
        </w:numPr>
        <w:spacing w:after="60"/>
      </w:pPr>
      <w:r>
        <w:rPr>
          <w:rFonts w:ascii="Arial" w:cs="Arial" w:eastAsia="Arial" w:hAnsi="Arial"/>
          <w:b/>
          <w:bCs/>
          <w:color w:val="333333"/>
          <w:sz w:val="22"/>
          <w:szCs w:val="22"/>
        </w:rPr>
        <w:t xml:space="preserve">Extended outage (&gt;5 min): </w:t>
      </w:r>
      <w:r>
        <w:rPr>
          <w:rFonts w:ascii="Arial" w:cs="Arial" w:eastAsia="Arial" w:hAnsi="Arial"/>
          <w:color w:val="333333"/>
          <w:sz w:val="22"/>
          <w:szCs w:val="22"/>
        </w:rPr>
        <w:t xml:space="preserve">Entire queue is drained to fallback log file. Recovery summary is sent when connection restores.</w:t>
      </w:r>
    </w:p>
    <w:p>
      <w:pPr>
        <w:pStyle w:val="Heading2"/>
        <w:spacing w:after="120" w:before="240"/>
      </w:pPr>
      <w:r>
        <w:t xml:space="preserve">10.5 Circuit Breaker Guard</w:t>
      </w:r>
    </w:p>
    <w:p>
      <w:pPr>
        <w:spacing w:after="120"/>
        <w:jc w:val="left"/>
      </w:pPr>
      <w:r>
        <w:rPr>
          <w:rFonts w:ascii="Arial" w:cs="Arial" w:eastAsia="Arial" w:hAnsi="Arial"/>
          <w:b w:val="false"/>
          <w:bCs w:val="false"/>
          <w:i w:val="false"/>
          <w:iCs w:val="false"/>
          <w:color w:val="333333"/>
          <w:sz w:val="22"/>
          <w:szCs w:val="22"/>
        </w:rPr>
        <w:t xml:space="preserve">The India risk guard (risk/india_risk_guard.py, 331 lines) monitors proximity to NSE circuit breaker levels and halts trading after consecutive losses. It integrates with the position sizing engine to reduce exposure in elevated-risk conditions.</w:t>
      </w:r>
    </w:p>
    <w:p>
      <w:r>
        <w:br w:type="page"/>
      </w:r>
    </w:p>
    <w:p>
      <w:pPr>
        <w:pStyle w:val="Heading1"/>
        <w:spacing w:after="120" w:before="360"/>
      </w:pPr>
      <w:r>
        <w:t xml:space="preserve">11. Automated Cron Schedule</w:t>
      </w:r>
    </w:p>
    <w:p>
      <w:pPr>
        <w:spacing w:after="120"/>
        <w:jc w:val="left"/>
      </w:pPr>
      <w:r>
        <w:rPr>
          <w:rFonts w:ascii="Arial" w:cs="Arial" w:eastAsia="Arial" w:hAnsi="Arial"/>
          <w:b w:val="false"/>
          <w:bCs w:val="false"/>
          <w:i w:val="false"/>
          <w:iCs w:val="false"/>
          <w:color w:val="333333"/>
          <w:sz w:val="22"/>
          <w:szCs w:val="22"/>
        </w:rPr>
        <w:t xml:space="preserve">The system runs on a fully automated cron schedule (all times IST):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52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Time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Job</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Module</w:t>
            </w:r>
          </w:p>
        </w:tc>
        <w:tc>
          <w:tcPr>
            <w:tcW w:type="dxa" w:w="35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8:45 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Pre-Market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enhanced_daily_run</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Fetch data, compute signals, generate orders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9:00 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Health Check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health_check.sh</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Alert if pre-market didn’t run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9:14 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Intraday Start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intraday_runner</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Start intraday engine (self-terminates ~3:25 PM)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3:45 PM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Post-Market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eod_reconciler</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EOD reconciliation, P&amp;L summary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 PM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Data Refresh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kite_daily_refresh</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Refresh daily OHLCV + options chain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6:30 PM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FII Pipeline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fii.daily_pipeline</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FII/DII data download + analysis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Sun 10:00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Decay Scan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decay_weekly_scan</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Signal decay detection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Sun 10:15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BN Review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bn_weekly_review</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Bank Nifty weekly review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Sun 10:30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Robustness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run_robustness_suite</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robustness test suite</w:t>
            </w:r>
          </w:p>
        </w:tc>
      </w:tr>
    </w:tbl>
    <w:p>
      <w:r>
        <w:br w:type="page"/>
      </w:r>
    </w:p>
    <w:p>
      <w:pPr>
        <w:pStyle w:val="Heading1"/>
        <w:spacing w:after="120" w:before="360"/>
      </w:pPr>
      <w:r>
        <w:t xml:space="preserve">12. Database Schema</w:t>
      </w:r>
    </w:p>
    <w:p>
      <w:pPr>
        <w:spacing w:after="120"/>
        <w:jc w:val="left"/>
      </w:pPr>
      <w:r>
        <w:rPr>
          <w:rFonts w:ascii="Arial" w:cs="Arial" w:eastAsia="Arial" w:hAnsi="Arial"/>
          <w:b w:val="false"/>
          <w:bCs w:val="false"/>
          <w:i w:val="false"/>
          <w:iCs w:val="false"/>
          <w:color w:val="333333"/>
          <w:sz w:val="22"/>
          <w:szCs w:val="22"/>
        </w:rPr>
        <w:t xml:space="preserve">The system uses PostgreSQL with 7 migration files covering:</w:t>
      </w:r>
    </w:p>
    <w:p>
      <w:pPr>
        <w:pStyle w:val="ListParagraph"/>
        <w:numPr>
          <w:ilvl w:val="0"/>
          <w:numId w:val="2"/>
        </w:numPr>
        <w:spacing w:after="60"/>
      </w:pPr>
      <w:r>
        <w:rPr>
          <w:rFonts w:ascii="Arial" w:cs="Arial" w:eastAsia="Arial" w:hAnsi="Arial"/>
          <w:b/>
          <w:bCs/>
          <w:color w:val="333333"/>
          <w:sz w:val="22"/>
          <w:szCs w:val="22"/>
        </w:rPr>
        <w:t xml:space="preserve">001–004: </w:t>
      </w:r>
      <w:r>
        <w:rPr>
          <w:rFonts w:ascii="Arial" w:cs="Arial" w:eastAsia="Arial" w:hAnsi="Arial"/>
          <w:color w:val="333333"/>
          <w:sz w:val="22"/>
          <w:szCs w:val="22"/>
        </w:rPr>
        <w:t xml:space="preserve">Core tables: signals, positions, orders, daily P&amp;L, portfolio state, walk-forward results</w:t>
      </w:r>
    </w:p>
    <w:p>
      <w:pPr>
        <w:pStyle w:val="ListParagraph"/>
        <w:numPr>
          <w:ilvl w:val="0"/>
          <w:numId w:val="2"/>
        </w:numPr>
        <w:spacing w:after="60"/>
      </w:pPr>
      <w:r>
        <w:rPr>
          <w:rFonts w:ascii="Arial" w:cs="Arial" w:eastAsia="Arial" w:hAnsi="Arial"/>
          <w:b/>
          <w:bCs/>
          <w:color w:val="333333"/>
          <w:sz w:val="22"/>
          <w:szCs w:val="22"/>
        </w:rPr>
        <w:t xml:space="preserve">005_theta_tracking.sql (95 lines): </w:t>
      </w:r>
      <w:r>
        <w:rPr>
          <w:rFonts w:ascii="Arial" w:cs="Arial" w:eastAsia="Arial" w:hAnsi="Arial"/>
          <w:color w:val="333333"/>
          <w:sz w:val="22"/>
          <w:szCs w:val="22"/>
        </w:rPr>
        <w:t xml:space="preserve">Per-position theta snapshots, portfolio-level theta aggregation, theta decay curves</w:t>
      </w:r>
    </w:p>
    <w:p>
      <w:pPr>
        <w:pStyle w:val="ListParagraph"/>
        <w:numPr>
          <w:ilvl w:val="0"/>
          <w:numId w:val="2"/>
        </w:numPr>
        <w:spacing w:after="60"/>
      </w:pPr>
      <w:r>
        <w:rPr>
          <w:rFonts w:ascii="Arial" w:cs="Arial" w:eastAsia="Arial" w:hAnsi="Arial"/>
          <w:b/>
          <w:bCs/>
          <w:color w:val="333333"/>
          <w:sz w:val="22"/>
          <w:szCs w:val="22"/>
        </w:rPr>
        <w:t xml:space="preserve">006_intraday_bars.sql (59 lines): </w:t>
      </w:r>
      <w:r>
        <w:rPr>
          <w:rFonts w:ascii="Arial" w:cs="Arial" w:eastAsia="Arial" w:hAnsi="Arial"/>
          <w:color w:val="333333"/>
          <w:sz w:val="22"/>
          <w:szCs w:val="22"/>
        </w:rPr>
        <w:t xml:space="preserve">1-minute and 5-minute OHLCV bar storage with instrument/exchange indexing</w:t>
      </w:r>
    </w:p>
    <w:p>
      <w:pPr>
        <w:pStyle w:val="ListParagraph"/>
        <w:numPr>
          <w:ilvl w:val="0"/>
          <w:numId w:val="2"/>
        </w:numPr>
        <w:spacing w:after="60"/>
      </w:pPr>
      <w:r>
        <w:rPr>
          <w:rFonts w:ascii="Arial" w:cs="Arial" w:eastAsia="Arial" w:hAnsi="Arial"/>
          <w:b/>
          <w:bCs/>
          <w:color w:val="333333"/>
          <w:sz w:val="22"/>
          <w:szCs w:val="22"/>
        </w:rPr>
        <w:t xml:space="preserve">007_production_safety.sql (31 lines): </w:t>
      </w:r>
      <w:r>
        <w:rPr>
          <w:rFonts w:ascii="Arial" w:cs="Arial" w:eastAsia="Arial" w:hAnsi="Arial"/>
          <w:color w:val="333333"/>
          <w:sz w:val="22"/>
          <w:szCs w:val="22"/>
        </w:rPr>
        <w:t xml:space="preserve">Intent table for crash recovery, reconciliation audit log, circuit breaker state tracking</w:t>
      </w:r>
    </w:p>
    <w:p>
      <w:r>
        <w:br w:type="page"/>
      </w:r>
    </w:p>
    <w:p>
      <w:pPr>
        <w:pStyle w:val="Heading1"/>
        <w:spacing w:after="120" w:before="360"/>
      </w:pPr>
      <w:r>
        <w:t xml:space="preserve">13. Monitoring &amp; Alerting</w:t>
      </w:r>
    </w:p>
    <w:p>
      <w:pPr>
        <w:pStyle w:val="Heading2"/>
        <w:spacing w:after="120" w:before="240"/>
      </w:pPr>
      <w:r>
        <w:t xml:space="preserve">13.1 Telegram Bot Integration</w:t>
      </w:r>
    </w:p>
    <w:p>
      <w:pPr>
        <w:spacing w:after="120"/>
        <w:jc w:val="left"/>
      </w:pPr>
      <w:r>
        <w:rPr>
          <w:rFonts w:ascii="Arial" w:cs="Arial" w:eastAsia="Arial" w:hAnsi="Arial"/>
          <w:b w:val="false"/>
          <w:bCs w:val="false"/>
          <w:i w:val="false"/>
          <w:iCs w:val="false"/>
          <w:color w:val="333333"/>
          <w:sz w:val="22"/>
          <w:szCs w:val="22"/>
        </w:rPr>
        <w:t xml:space="preserve">The system delivers real-time alerts via Telegram bot with 3 priority tiers:</w:t>
      </w:r>
    </w:p>
    <w:p>
      <w:pPr>
        <w:pStyle w:val="ListParagraph"/>
        <w:numPr>
          <w:ilvl w:val="0"/>
          <w:numId w:val="2"/>
        </w:numPr>
        <w:spacing w:after="60"/>
      </w:pPr>
      <w:r>
        <w:rPr>
          <w:rFonts w:ascii="Arial" w:cs="Arial" w:eastAsia="Arial" w:hAnsi="Arial"/>
          <w:b/>
          <w:bCs/>
          <w:color w:val="333333"/>
          <w:sz w:val="22"/>
          <w:szCs w:val="22"/>
        </w:rPr>
        <w:t xml:space="preserve">CRITICAL: </w:t>
      </w:r>
      <w:r>
        <w:rPr>
          <w:rFonts w:ascii="Arial" w:cs="Arial" w:eastAsia="Arial" w:hAnsi="Arial"/>
          <w:color w:val="333333"/>
          <w:sz w:val="22"/>
          <w:szCs w:val="22"/>
        </w:rPr>
        <w:t xml:space="preserve">Order fills, crash recovery events, loss limiter triggers. Retried once on failure.</w:t>
      </w:r>
    </w:p>
    <w:p>
      <w:pPr>
        <w:pStyle w:val="ListParagraph"/>
        <w:numPr>
          <w:ilvl w:val="0"/>
          <w:numId w:val="2"/>
        </w:numPr>
        <w:spacing w:after="60"/>
      </w:pPr>
      <w:r>
        <w:rPr>
          <w:rFonts w:ascii="Arial" w:cs="Arial" w:eastAsia="Arial" w:hAnsi="Arial"/>
          <w:b/>
          <w:bCs/>
          <w:color w:val="333333"/>
          <w:sz w:val="22"/>
          <w:szCs w:val="22"/>
        </w:rPr>
        <w:t xml:space="preserve">NORMAL: </w:t>
      </w:r>
      <w:r>
        <w:rPr>
          <w:rFonts w:ascii="Arial" w:cs="Arial" w:eastAsia="Arial" w:hAnsi="Arial"/>
          <w:color w:val="333333"/>
          <w:sz w:val="22"/>
          <w:szCs w:val="22"/>
        </w:rPr>
        <w:t xml:space="preserve">Signal fires, regime changes, daily P&amp;L reports.</w:t>
      </w:r>
    </w:p>
    <w:p>
      <w:pPr>
        <w:pStyle w:val="ListParagraph"/>
        <w:numPr>
          <w:ilvl w:val="0"/>
          <w:numId w:val="2"/>
        </w:numPr>
        <w:spacing w:after="60"/>
      </w:pPr>
      <w:r>
        <w:rPr>
          <w:rFonts w:ascii="Arial" w:cs="Arial" w:eastAsia="Arial" w:hAnsi="Arial"/>
          <w:b/>
          <w:bCs/>
          <w:color w:val="333333"/>
          <w:sz w:val="22"/>
          <w:szCs w:val="22"/>
        </w:rPr>
        <w:t xml:space="preserve">LOW: </w:t>
      </w:r>
      <w:r>
        <w:rPr>
          <w:rFonts w:ascii="Arial" w:cs="Arial" w:eastAsia="Arial" w:hAnsi="Arial"/>
          <w:color w:val="333333"/>
          <w:sz w:val="22"/>
          <w:szCs w:val="22"/>
        </w:rPr>
        <w:t xml:space="preserve">Shadow signal tracking, FII pattern observations. Dropped if queue is full.</w:t>
      </w:r>
    </w:p>
    <w:p>
      <w:pPr>
        <w:pStyle w:val="Heading2"/>
        <w:spacing w:after="120" w:before="240"/>
      </w:pPr>
      <w:r>
        <w:t xml:space="preserve">13.2 Health Checks</w:t>
      </w:r>
    </w:p>
    <w:p>
      <w:pPr>
        <w:spacing w:after="120"/>
        <w:jc w:val="left"/>
      </w:pPr>
      <w:r>
        <w:rPr>
          <w:rFonts w:ascii="Arial" w:cs="Arial" w:eastAsia="Arial" w:hAnsi="Arial"/>
          <w:b w:val="false"/>
          <w:bCs w:val="false"/>
          <w:i w:val="false"/>
          <w:iCs w:val="false"/>
          <w:color w:val="333333"/>
          <w:sz w:val="22"/>
          <w:szCs w:val="22"/>
        </w:rPr>
        <w:t xml:space="preserve">A 9:00 AM health check (scripts/health_check.sh) verifies that the 8:45 AM pre-market job completed successfully. Failure triggers a Telegram alert so manual intervention can occur before market open at 9:15 AM.</w:t>
      </w:r>
    </w:p>
    <w:p>
      <w:pPr>
        <w:pStyle w:val="Heading2"/>
        <w:spacing w:after="120" w:before="240"/>
      </w:pPr>
      <w:r>
        <w:t xml:space="preserve">13.3 Prometheus Metrics</w:t>
      </w:r>
    </w:p>
    <w:p>
      <w:pPr>
        <w:spacing w:after="120"/>
        <w:jc w:val="left"/>
      </w:pPr>
      <w:r>
        <w:rPr>
          <w:rFonts w:ascii="Arial" w:cs="Arial" w:eastAsia="Arial" w:hAnsi="Arial"/>
          <w:b w:val="false"/>
          <w:bCs w:val="false"/>
          <w:i w:val="false"/>
          <w:iCs w:val="false"/>
          <w:color w:val="333333"/>
          <w:sz w:val="22"/>
          <w:szCs w:val="22"/>
        </w:rPr>
        <w:t xml:space="preserve">The monitoring subsystem exposes Prometheus-compatible metrics for signal counts, order fill rates, latency percentiles, and queue depths.</w:t>
      </w:r>
    </w:p>
    <w:p>
      <w:r>
        <w:br w:type="page"/>
      </w:r>
    </w:p>
    <w:p>
      <w:pPr>
        <w:pStyle w:val="Heading1"/>
        <w:spacing w:after="120" w:before="360"/>
      </w:pPr>
      <w:r>
        <w:t xml:space="preserve">14. Paper Trading Engine</w:t>
      </w:r>
    </w:p>
    <w:p>
      <w:pPr>
        <w:spacing w:after="120"/>
        <w:jc w:val="left"/>
      </w:pPr>
      <w:r>
        <w:rPr>
          <w:rFonts w:ascii="Arial" w:cs="Arial" w:eastAsia="Arial" w:hAnsi="Arial"/>
          <w:b w:val="false"/>
          <w:bCs w:val="false"/>
          <w:i w:val="false"/>
          <w:iCs w:val="false"/>
          <w:color w:val="333333"/>
          <w:sz w:val="22"/>
          <w:szCs w:val="22"/>
        </w:rPr>
        <w:t xml:space="preserve">The paper trading subsystem (31 files) simulates live trading with realistic execution modeling:</w:t>
      </w:r>
    </w:p>
    <w:p>
      <w:pPr>
        <w:pStyle w:val="ListParagraph"/>
        <w:numPr>
          <w:ilvl w:val="0"/>
          <w:numId w:val="2"/>
        </w:numPr>
        <w:spacing w:after="60"/>
      </w:pPr>
      <w:r>
        <w:rPr>
          <w:rFonts w:ascii="Arial" w:cs="Arial" w:eastAsia="Arial" w:hAnsi="Arial"/>
          <w:b/>
          <w:bCs/>
          <w:color w:val="333333"/>
          <w:sz w:val="22"/>
          <w:szCs w:val="22"/>
        </w:rPr>
        <w:t xml:space="preserve">Enhanced daily runner: </w:t>
      </w:r>
      <w:r>
        <w:rPr>
          <w:rFonts w:ascii="Arial" w:cs="Arial" w:eastAsia="Arial" w:hAnsi="Arial"/>
          <w:color w:val="333333"/>
          <w:sz w:val="22"/>
          <w:szCs w:val="22"/>
        </w:rPr>
        <w:t xml:space="preserve">Orchestrates the full daily pipeline: data fetch, signal computation, portfolio scoring, order generation, and position management.</w:t>
      </w:r>
    </w:p>
    <w:p>
      <w:pPr>
        <w:pStyle w:val="ListParagraph"/>
        <w:numPr>
          <w:ilvl w:val="0"/>
          <w:numId w:val="2"/>
        </w:numPr>
        <w:spacing w:after="60"/>
      </w:pPr>
      <w:r>
        <w:rPr>
          <w:rFonts w:ascii="Arial" w:cs="Arial" w:eastAsia="Arial" w:hAnsi="Arial"/>
          <w:b/>
          <w:bCs/>
          <w:color w:val="333333"/>
          <w:sz w:val="22"/>
          <w:szCs w:val="22"/>
        </w:rPr>
        <w:t xml:space="preserve">Intraday runner: </w:t>
      </w:r>
      <w:r>
        <w:rPr>
          <w:rFonts w:ascii="Arial" w:cs="Arial" w:eastAsia="Arial" w:hAnsi="Arial"/>
          <w:color w:val="333333"/>
          <w:sz w:val="22"/>
          <w:szCs w:val="22"/>
        </w:rPr>
        <w:t xml:space="preserve">Self-terminating loop that starts at 9:14 AM and runs until ~3:25 PM, polling for intraday signal triggers.</w:t>
      </w:r>
    </w:p>
    <w:p>
      <w:pPr>
        <w:pStyle w:val="ListParagraph"/>
        <w:numPr>
          <w:ilvl w:val="0"/>
          <w:numId w:val="2"/>
        </w:numPr>
        <w:spacing w:after="60"/>
      </w:pPr>
      <w:r>
        <w:rPr>
          <w:rFonts w:ascii="Arial" w:cs="Arial" w:eastAsia="Arial" w:hAnsi="Arial"/>
          <w:b/>
          <w:bCs/>
          <w:color w:val="333333"/>
          <w:sz w:val="22"/>
          <w:szCs w:val="22"/>
        </w:rPr>
        <w:t xml:space="preserve">EOD reconciler: </w:t>
      </w:r>
      <w:r>
        <w:rPr>
          <w:rFonts w:ascii="Arial" w:cs="Arial" w:eastAsia="Arial" w:hAnsi="Arial"/>
          <w:color w:val="333333"/>
          <w:sz w:val="22"/>
          <w:szCs w:val="22"/>
        </w:rPr>
        <w:t xml:space="preserve">End-of-day reconciliation against broker state, P&amp;L computation, and daily summary generation.</w:t>
      </w:r>
    </w:p>
    <w:p>
      <w:pPr>
        <w:pStyle w:val="ListParagraph"/>
        <w:numPr>
          <w:ilvl w:val="0"/>
          <w:numId w:val="2"/>
        </w:numPr>
        <w:spacing w:after="60"/>
      </w:pPr>
      <w:r>
        <w:rPr>
          <w:rFonts w:ascii="Arial" w:cs="Arial" w:eastAsia="Arial" w:hAnsi="Arial"/>
          <w:b/>
          <w:bCs/>
          <w:color w:val="333333"/>
          <w:sz w:val="22"/>
          <w:szCs w:val="22"/>
        </w:rPr>
        <w:t xml:space="preserve">Shadow trackers: </w:t>
      </w:r>
      <w:r>
        <w:rPr>
          <w:rFonts w:ascii="Arial" w:cs="Arial" w:eastAsia="Arial" w:hAnsi="Arial"/>
          <w:color w:val="333333"/>
          <w:sz w:val="22"/>
          <w:szCs w:val="22"/>
        </w:rPr>
        <w:t xml:space="preserve">Track hypothetical P&amp;L for all 10 shadow signals without placing orders. Enables future promotion when signals prove edge.</w:t>
      </w:r>
    </w:p>
    <w:p>
      <w:pPr>
        <w:pStyle w:val="ListParagraph"/>
        <w:numPr>
          <w:ilvl w:val="0"/>
          <w:numId w:val="2"/>
        </w:numPr>
        <w:spacing w:after="60"/>
      </w:pPr>
      <w:r>
        <w:rPr>
          <w:rFonts w:ascii="Arial" w:cs="Arial" w:eastAsia="Arial" w:hAnsi="Arial"/>
          <w:b/>
          <w:bCs/>
          <w:color w:val="333333"/>
          <w:sz w:val="22"/>
          <w:szCs w:val="22"/>
        </w:rPr>
        <w:t xml:space="preserve">Portfolio scorer: </w:t>
      </w:r>
      <w:r>
        <w:rPr>
          <w:rFonts w:ascii="Arial" w:cs="Arial" w:eastAsia="Arial" w:hAnsi="Arial"/>
          <w:color w:val="333333"/>
          <w:sz w:val="22"/>
          <w:szCs w:val="22"/>
        </w:rPr>
        <w:t xml:space="preserve">Multi-signal composite scoring with regime-weighted signal confidence. Combines 9 scoring signals into unified position sizing input.</w:t>
      </w:r>
    </w:p>
    <w:p>
      <w:pPr>
        <w:pStyle w:val="ListParagraph"/>
        <w:numPr>
          <w:ilvl w:val="0"/>
          <w:numId w:val="2"/>
        </w:numPr>
        <w:spacing w:after="60"/>
      </w:pPr>
      <w:r>
        <w:rPr>
          <w:rFonts w:ascii="Arial" w:cs="Arial" w:eastAsia="Arial" w:hAnsi="Arial"/>
          <w:b/>
          <w:bCs/>
          <w:color w:val="333333"/>
          <w:sz w:val="22"/>
          <w:szCs w:val="22"/>
        </w:rPr>
        <w:t xml:space="preserve">Async fill monitor: </w:t>
      </w:r>
      <w:r>
        <w:rPr>
          <w:rFonts w:ascii="Arial" w:cs="Arial" w:eastAsia="Arial" w:hAnsi="Arial"/>
          <w:color w:val="333333"/>
          <w:sz w:val="22"/>
          <w:szCs w:val="22"/>
        </w:rPr>
        <w:t xml:space="preserve">Non-blocking order fill monitoring with 0.02ms submit latency. Background thread polls broker for fills without blocking the trading loop.</w:t>
      </w:r>
    </w:p>
    <w:p>
      <w:r>
        <w:br w:type="page"/>
      </w:r>
    </w:p>
    <w:p>
      <w:pPr>
        <w:pStyle w:val="Heading1"/>
        <w:spacing w:after="120" w:before="360"/>
      </w:pPr>
      <w:r>
        <w:t xml:space="preserve">15. Configuration</w:t>
      </w:r>
    </w:p>
    <w:p>
      <w:pPr>
        <w:spacing w:after="120"/>
        <w:jc w:val="left"/>
      </w:pPr>
      <w:r>
        <w:rPr>
          <w:rFonts w:ascii="Arial" w:cs="Arial" w:eastAsia="Arial" w:hAnsi="Arial"/>
          <w:b w:val="false"/>
          <w:bCs w:val="false"/>
          <w:i w:val="false"/>
          <w:iCs w:val="false"/>
          <w:color w:val="333333"/>
          <w:sz w:val="22"/>
          <w:szCs w:val="22"/>
        </w:rPr>
        <w:t xml:space="preserve">The system is configured through YAML files and environment variables:</w:t>
      </w:r>
    </w:p>
    <w:p>
      <w:pPr>
        <w:pStyle w:val="ListParagraph"/>
        <w:numPr>
          <w:ilvl w:val="0"/>
          <w:numId w:val="2"/>
        </w:numPr>
        <w:spacing w:after="60"/>
      </w:pPr>
      <w:r>
        <w:rPr>
          <w:rFonts w:ascii="Arial" w:cs="Arial" w:eastAsia="Arial" w:hAnsi="Arial"/>
          <w:b/>
          <w:bCs/>
          <w:color w:val="333333"/>
          <w:sz w:val="22"/>
          <w:szCs w:val="22"/>
        </w:rPr>
        <w:t xml:space="preserve">config/trading_config.yaml: </w:t>
      </w:r>
      <w:r>
        <w:rPr>
          <w:rFonts w:ascii="Arial" w:cs="Arial" w:eastAsia="Arial" w:hAnsi="Arial"/>
          <w:color w:val="333333"/>
          <w:sz w:val="22"/>
          <w:szCs w:val="22"/>
        </w:rPr>
        <w:t xml:space="preserve">Master configuration for signal parameters, sizing rules, regime thresholds, broker credentials</w:t>
      </w:r>
    </w:p>
    <w:p>
      <w:pPr>
        <w:pStyle w:val="ListParagraph"/>
        <w:numPr>
          <w:ilvl w:val="0"/>
          <w:numId w:val="2"/>
        </w:numPr>
        <w:spacing w:after="60"/>
      </w:pPr>
      <w:r>
        <w:rPr>
          <w:rFonts w:ascii="Arial" w:cs="Arial" w:eastAsia="Arial" w:hAnsi="Arial"/>
          <w:b/>
          <w:bCs/>
          <w:color w:val="333333"/>
          <w:sz w:val="22"/>
          <w:szCs w:val="22"/>
        </w:rPr>
        <w:t xml:space="preserve">config/calendar_events.json: </w:t>
      </w:r>
      <w:r>
        <w:rPr>
          <w:rFonts w:ascii="Arial" w:cs="Arial" w:eastAsia="Arial" w:hAnsi="Arial"/>
          <w:color w:val="333333"/>
          <w:sz w:val="22"/>
          <w:szCs w:val="22"/>
        </w:rPr>
        <w:t xml:space="preserve">All 2024–2026 Indian market events: RBI MPC dates, budget days, election dates, market holidays</w:t>
      </w:r>
    </w:p>
    <w:p>
      <w:pPr>
        <w:pStyle w:val="ListParagraph"/>
        <w:numPr>
          <w:ilvl w:val="0"/>
          <w:numId w:val="2"/>
        </w:numPr>
        <w:spacing w:after="60"/>
      </w:pPr>
      <w:r>
        <w:rPr>
          <w:rFonts w:ascii="Arial" w:cs="Arial" w:eastAsia="Arial" w:hAnsi="Arial"/>
          <w:b/>
          <w:bCs/>
          <w:color w:val="333333"/>
          <w:sz w:val="22"/>
          <w:szCs w:val="22"/>
        </w:rPr>
        <w:t xml:space="preserve">Environment variables: </w:t>
      </w:r>
      <w:r>
        <w:rPr>
          <w:rFonts w:ascii="Arial" w:cs="Arial" w:eastAsia="Arial" w:hAnsi="Arial"/>
          <w:color w:val="333333"/>
          <w:sz w:val="22"/>
          <w:szCs w:val="22"/>
        </w:rPr>
        <w:t xml:space="preserve">Sensitive credentials (Telegram bot token, Kite API key) are passed via environment variables set in crontab or .env files</w:t>
      </w:r>
    </w:p>
    <w:p>
      <w:pPr>
        <w:pStyle w:val="ListParagraph"/>
        <w:numPr>
          <w:ilvl w:val="0"/>
          <w:numId w:val="2"/>
        </w:numPr>
        <w:spacing w:after="60"/>
      </w:pPr>
      <w:r>
        <w:rPr>
          <w:rFonts w:ascii="Arial" w:cs="Arial" w:eastAsia="Arial" w:hAnsi="Arial"/>
          <w:b/>
          <w:bCs/>
          <w:color w:val="333333"/>
          <w:sz w:val="22"/>
          <w:szCs w:val="22"/>
        </w:rPr>
        <w:t xml:space="preserve">Regime parameters: </w:t>
      </w:r>
      <w:r>
        <w:rPr>
          <w:rFonts w:ascii="Arial" w:cs="Arial" w:eastAsia="Arial" w:hAnsi="Arial"/>
          <w:color w:val="333333"/>
          <w:sz w:val="22"/>
          <w:szCs w:val="22"/>
        </w:rPr>
        <w:t xml:space="preserve">VIX thresholds, hysteresis bands, sizing tiers, and behavioral overlay coefficients are all configurable without code changes</w:t>
      </w:r>
    </w:p>
    <w:p>
      <w:r>
        <w:br w:type="page"/>
      </w:r>
    </w:p>
    <w:p>
      <w:pPr>
        <w:pStyle w:val="Heading1"/>
        <w:spacing w:after="120" w:before="360"/>
      </w:pPr>
      <w:r>
        <w:t xml:space="preserve">16. Testing</w:t>
      </w:r>
    </w:p>
    <w:p>
      <w:pPr>
        <w:spacing w:after="120"/>
        <w:jc w:val="left"/>
      </w:pPr>
      <w:r>
        <w:rPr>
          <w:rFonts w:ascii="Arial" w:cs="Arial" w:eastAsia="Arial" w:hAnsi="Arial"/>
          <w:b w:val="false"/>
          <w:bCs w:val="false"/>
          <w:i w:val="false"/>
          <w:iCs w:val="false"/>
          <w:color w:val="333333"/>
          <w:sz w:val="22"/>
          <w:szCs w:val="22"/>
        </w:rPr>
        <w:t xml:space="preserve">The codebase includes 16 test files covering critical subsystems:</w:t>
      </w:r>
    </w:p>
    <w:p>
      <w:pPr>
        <w:pStyle w:val="ListParagraph"/>
        <w:numPr>
          <w:ilvl w:val="0"/>
          <w:numId w:val="2"/>
        </w:numPr>
        <w:spacing w:after="60"/>
      </w:pPr>
      <w:r>
        <w:rPr>
          <w:rFonts w:ascii="Arial" w:cs="Arial" w:eastAsia="Arial" w:hAnsi="Arial"/>
          <w:b/>
          <w:bCs/>
          <w:color w:val="333333"/>
          <w:sz w:val="22"/>
          <w:szCs w:val="22"/>
        </w:rPr>
        <w:t xml:space="preserve">test_behavioral_overlay.py (21 tests): </w:t>
      </w:r>
      <w:r>
        <w:rPr>
          <w:rFonts w:ascii="Arial" w:cs="Arial" w:eastAsia="Arial" w:hAnsi="Arial"/>
          <w:color w:val="333333"/>
          <w:sz w:val="22"/>
          <w:szCs w:val="22"/>
        </w:rPr>
        <w:t xml:space="preserve">All 4 Kahneman overlays, edge cases, interaction effects</w:t>
      </w:r>
    </w:p>
    <w:p>
      <w:pPr>
        <w:pStyle w:val="ListParagraph"/>
        <w:numPr>
          <w:ilvl w:val="0"/>
          <w:numId w:val="2"/>
        </w:numPr>
        <w:spacing w:after="60"/>
      </w:pPr>
      <w:r>
        <w:rPr>
          <w:rFonts w:ascii="Arial" w:cs="Arial" w:eastAsia="Arial" w:hAnsi="Arial"/>
          <w:b/>
          <w:bCs/>
          <w:color w:val="333333"/>
          <w:sz w:val="22"/>
          <w:szCs w:val="22"/>
        </w:rPr>
        <w:t xml:space="preserve">test_sizing_chain.py (16 tests): </w:t>
      </w:r>
      <w:r>
        <w:rPr>
          <w:rFonts w:ascii="Arial" w:cs="Arial" w:eastAsia="Arial" w:hAnsi="Arial"/>
          <w:color w:val="333333"/>
          <w:sz w:val="22"/>
          <w:szCs w:val="22"/>
        </w:rPr>
        <w:t xml:space="preserve">Compound tiered sizing, drawdown tiers, weekly ratchet, tier transitions</w:t>
      </w:r>
    </w:p>
    <w:p>
      <w:pPr>
        <w:pStyle w:val="ListParagraph"/>
        <w:numPr>
          <w:ilvl w:val="0"/>
          <w:numId w:val="2"/>
        </w:numPr>
        <w:spacing w:after="60"/>
      </w:pPr>
      <w:r>
        <w:rPr>
          <w:rFonts w:ascii="Arial" w:cs="Arial" w:eastAsia="Arial" w:hAnsi="Arial"/>
          <w:color w:val="333333"/>
          <w:sz w:val="22"/>
          <w:szCs w:val="22"/>
        </w:rPr>
        <w:t xml:space="preserve">Signal-level unit tests for each scoring signal</w:t>
      </w:r>
    </w:p>
    <w:p>
      <w:pPr>
        <w:pStyle w:val="ListParagraph"/>
        <w:numPr>
          <w:ilvl w:val="0"/>
          <w:numId w:val="2"/>
        </w:numPr>
        <w:spacing w:after="60"/>
      </w:pPr>
      <w:r>
        <w:rPr>
          <w:rFonts w:ascii="Arial" w:cs="Arial" w:eastAsia="Arial" w:hAnsi="Arial"/>
          <w:color w:val="333333"/>
          <w:sz w:val="22"/>
          <w:szCs w:val="22"/>
        </w:rPr>
        <w:t xml:space="preserve">Integration tests for the paper trading pipeline</w:t>
      </w:r>
    </w:p>
    <w:p>
      <w:pPr>
        <w:pStyle w:val="ListParagraph"/>
        <w:numPr>
          <w:ilvl w:val="0"/>
          <w:numId w:val="2"/>
        </w:numPr>
        <w:spacing w:after="60"/>
      </w:pPr>
      <w:r>
        <w:rPr>
          <w:rFonts w:ascii="Arial" w:cs="Arial" w:eastAsia="Arial" w:hAnsi="Arial"/>
          <w:color w:val="333333"/>
          <w:sz w:val="22"/>
          <w:szCs w:val="22"/>
        </w:rPr>
        <w:t xml:space="preserve">Walk-forward engine self-tests validating window construction and purge logic</w:t>
      </w:r>
    </w:p>
    <w:p>
      <w:pPr>
        <w:spacing w:after="120"/>
        <w:jc w:val="left"/>
      </w:pPr>
      <w:r>
        <w:rPr>
          <w:rFonts w:ascii="Arial" w:cs="Arial" w:eastAsia="Arial" w:hAnsi="Arial"/>
          <w:b w:val="false"/>
          <w:bCs w:val="false"/>
          <w:i w:val="false"/>
          <w:iCs w:val="false"/>
          <w:color w:val="333333"/>
          <w:sz w:val="22"/>
          <w:szCs w:val="22"/>
        </w:rPr>
        <w:t xml:space="preserve">All 37 tests pass as of the latest run.</w:t>
      </w:r>
    </w:p>
    <w:p>
      <w:r>
        <w:br w:type="page"/>
      </w:r>
    </w:p>
    <w:p>
      <w:pPr>
        <w:pStyle w:val="Heading1"/>
        <w:spacing w:after="120" w:before="360"/>
      </w:pPr>
      <w:r>
        <w:t xml:space="preserve">17. Known Limitations &amp; Future Work</w:t>
      </w:r>
    </w:p>
    <w:p>
      <w:pPr>
        <w:pStyle w:val="Heading2"/>
        <w:spacing w:after="120" w:before="240"/>
      </w:pPr>
      <w:r>
        <w:t xml:space="preserve">17.1 Current Limitations</w:t>
      </w:r>
    </w:p>
    <w:p>
      <w:pPr>
        <w:pStyle w:val="ListParagraph"/>
        <w:numPr>
          <w:ilvl w:val="0"/>
          <w:numId w:val="2"/>
        </w:numPr>
        <w:spacing w:after="60"/>
      </w:pPr>
      <w:r>
        <w:rPr>
          <w:rFonts w:ascii="Arial" w:cs="Arial" w:eastAsia="Arial" w:hAnsi="Arial"/>
          <w:color w:val="333333"/>
          <w:sz w:val="22"/>
          <w:szCs w:val="22"/>
        </w:rPr>
        <w:t xml:space="preserve">Backtest CAGR (127.5%) does not account for real-world slippage, market impact, and partial fills. Realistic target is 50–60%.</w:t>
      </w:r>
    </w:p>
    <w:p>
      <w:pPr>
        <w:pStyle w:val="ListParagraph"/>
        <w:numPr>
          <w:ilvl w:val="0"/>
          <w:numId w:val="2"/>
        </w:numPr>
        <w:spacing w:after="60"/>
      </w:pPr>
      <w:r>
        <w:rPr>
          <w:rFonts w:ascii="Arial" w:cs="Arial" w:eastAsia="Arial" w:hAnsi="Arial"/>
          <w:color w:val="333333"/>
          <w:sz w:val="22"/>
          <w:szCs w:val="22"/>
        </w:rPr>
        <w:t xml:space="preserve">Monte Carlo and OOS holdout tests require real paper trading data to be conclusive.</w:t>
      </w:r>
    </w:p>
    <w:p>
      <w:pPr>
        <w:pStyle w:val="ListParagraph"/>
        <w:numPr>
          <w:ilvl w:val="0"/>
          <w:numId w:val="2"/>
        </w:numPr>
        <w:spacing w:after="60"/>
      </w:pPr>
      <w:r>
        <w:rPr>
          <w:rFonts w:ascii="Arial" w:cs="Arial" w:eastAsia="Arial" w:hAnsi="Arial"/>
          <w:color w:val="333333"/>
          <w:sz w:val="22"/>
          <w:szCs w:val="22"/>
        </w:rPr>
        <w:t xml:space="preserve">Bootstrap Sharpe CI lower bound (9.5) is suspiciously high, likely from synthetic trade data.</w:t>
      </w:r>
    </w:p>
    <w:p>
      <w:pPr>
        <w:pStyle w:val="ListParagraph"/>
        <w:numPr>
          <w:ilvl w:val="0"/>
          <w:numId w:val="2"/>
        </w:numPr>
        <w:spacing w:after="60"/>
      </w:pPr>
      <w:r>
        <w:rPr>
          <w:rFonts w:ascii="Arial" w:cs="Arial" w:eastAsia="Arial" w:hAnsi="Arial"/>
          <w:color w:val="333333"/>
          <w:sz w:val="22"/>
          <w:szCs w:val="22"/>
        </w:rPr>
        <w:t xml:space="preserve">Weekly strangle seller has insufficient trade count for statistical significance (12 trades in backtest).</w:t>
      </w:r>
    </w:p>
    <w:p>
      <w:pPr>
        <w:pStyle w:val="ListParagraph"/>
        <w:numPr>
          <w:ilvl w:val="0"/>
          <w:numId w:val="2"/>
        </w:numPr>
        <w:spacing w:after="60"/>
      </w:pPr>
      <w:r>
        <w:rPr>
          <w:rFonts w:ascii="Arial" w:cs="Arial" w:eastAsia="Arial" w:hAnsi="Arial"/>
          <w:color w:val="333333"/>
          <w:sz w:val="22"/>
          <w:szCs w:val="22"/>
        </w:rPr>
        <w:t xml:space="preserve">NSE weekly options limited to Nifty only since November 2024.</w:t>
      </w:r>
    </w:p>
    <w:p>
      <w:pPr>
        <w:pStyle w:val="ListParagraph"/>
        <w:numPr>
          <w:ilvl w:val="0"/>
          <w:numId w:val="2"/>
        </w:numPr>
        <w:spacing w:after="60"/>
      </w:pPr>
      <w:r>
        <w:rPr>
          <w:rFonts w:ascii="Arial" w:cs="Arial" w:eastAsia="Arial" w:hAnsi="Arial"/>
          <w:color w:val="333333"/>
          <w:sz w:val="22"/>
          <w:szCs w:val="22"/>
        </w:rPr>
        <w:t xml:space="preserve">No live money deployment yet — system is in paper trading phase.</w:t>
      </w:r>
    </w:p>
    <w:p>
      <w:pPr>
        <w:pStyle w:val="Heading2"/>
        <w:spacing w:after="120" w:before="240"/>
      </w:pPr>
      <w:r>
        <w:t xml:space="preserve">17.2 Recommended Next Steps</w:t>
      </w:r>
    </w:p>
    <w:p>
      <w:pPr>
        <w:pStyle w:val="ListParagraph"/>
        <w:numPr>
          <w:ilvl w:val="0"/>
          <w:numId w:val="2"/>
        </w:numPr>
        <w:spacing w:after="60"/>
      </w:pPr>
      <w:r>
        <w:rPr>
          <w:rFonts w:ascii="Arial" w:cs="Arial" w:eastAsia="Arial" w:hAnsi="Arial"/>
          <w:b/>
          <w:bCs/>
          <w:color w:val="333333"/>
          <w:sz w:val="22"/>
          <w:szCs w:val="22"/>
        </w:rPr>
        <w:t xml:space="preserve">Paper trade for 2–3 months </w:t>
      </w:r>
      <w:r>
        <w:rPr>
          <w:rFonts w:ascii="Arial" w:cs="Arial" w:eastAsia="Arial" w:hAnsi="Arial"/>
          <w:color w:val="333333"/>
          <w:sz w:val="22"/>
          <w:szCs w:val="22"/>
        </w:rPr>
        <w:t xml:space="preserve">to accumulate real fill data and validate signal edge in live market conditions.</w:t>
      </w:r>
    </w:p>
    <w:p>
      <w:pPr>
        <w:pStyle w:val="ListParagraph"/>
        <w:numPr>
          <w:ilvl w:val="0"/>
          <w:numId w:val="2"/>
        </w:numPr>
        <w:spacing w:after="60"/>
      </w:pPr>
      <w:r>
        <w:rPr>
          <w:rFonts w:ascii="Arial" w:cs="Arial" w:eastAsia="Arial" w:hAnsi="Arial"/>
          <w:b/>
          <w:bCs/>
          <w:color w:val="333333"/>
          <w:sz w:val="22"/>
          <w:szCs w:val="22"/>
        </w:rPr>
        <w:t xml:space="preserve">Re-run robustness suite </w:t>
      </w:r>
      <w:r>
        <w:rPr>
          <w:rFonts w:ascii="Arial" w:cs="Arial" w:eastAsia="Arial" w:hAnsi="Arial"/>
          <w:color w:val="333333"/>
          <w:sz w:val="22"/>
          <w:szCs w:val="22"/>
        </w:rPr>
        <w:t xml:space="preserve">with real paper trading fills to get meaningful Monte Carlo and OOS results.</w:t>
      </w:r>
    </w:p>
    <w:p>
      <w:pPr>
        <w:pStyle w:val="ListParagraph"/>
        <w:numPr>
          <w:ilvl w:val="0"/>
          <w:numId w:val="2"/>
        </w:numPr>
        <w:spacing w:after="60"/>
      </w:pPr>
      <w:r>
        <w:rPr>
          <w:rFonts w:ascii="Arial" w:cs="Arial" w:eastAsia="Arial" w:hAnsi="Arial"/>
          <w:b/>
          <w:bCs/>
          <w:color w:val="333333"/>
          <w:sz w:val="22"/>
          <w:szCs w:val="22"/>
        </w:rPr>
        <w:t xml:space="preserve">Promote shadow signals </w:t>
      </w:r>
      <w:r>
        <w:rPr>
          <w:rFonts w:ascii="Arial" w:cs="Arial" w:eastAsia="Arial" w:hAnsi="Arial"/>
          <w:color w:val="333333"/>
          <w:sz w:val="22"/>
          <w:szCs w:val="22"/>
        </w:rPr>
        <w:t xml:space="preserve">that demonstrate consistent edge during paper trading (weekly strangle seller is the primary candidate if it generates more trades).</w:t>
      </w:r>
    </w:p>
    <w:p>
      <w:pPr>
        <w:pStyle w:val="ListParagraph"/>
        <w:numPr>
          <w:ilvl w:val="0"/>
          <w:numId w:val="2"/>
        </w:numPr>
        <w:spacing w:after="60"/>
      </w:pPr>
      <w:r>
        <w:rPr>
          <w:rFonts w:ascii="Arial" w:cs="Arial" w:eastAsia="Arial" w:hAnsi="Arial"/>
          <w:b/>
          <w:bCs/>
          <w:color w:val="333333"/>
          <w:sz w:val="22"/>
          <w:szCs w:val="22"/>
        </w:rPr>
        <w:t xml:space="preserve">Start with 1–2 lakh capital </w:t>
      </w:r>
      <w:r>
        <w:rPr>
          <w:rFonts w:ascii="Arial" w:cs="Arial" w:eastAsia="Arial" w:hAnsi="Arial"/>
          <w:color w:val="333333"/>
          <w:sz w:val="22"/>
          <w:szCs w:val="22"/>
        </w:rPr>
        <w:t xml:space="preserve">using only the 7 daily signals. Add intraday and options strategies incrementally after 2–3 months of profitable paper trading.</w:t>
      </w:r>
    </w:p>
    <w:p>
      <w:pPr>
        <w:pStyle w:val="ListParagraph"/>
        <w:numPr>
          <w:ilvl w:val="0"/>
          <w:numId w:val="2"/>
        </w:numPr>
        <w:spacing w:after="60"/>
      </w:pPr>
      <w:r>
        <w:rPr>
          <w:rFonts w:ascii="Arial" w:cs="Arial" w:eastAsia="Arial" w:hAnsi="Arial"/>
          <w:b/>
          <w:bCs/>
          <w:color w:val="333333"/>
          <w:sz w:val="22"/>
          <w:szCs w:val="22"/>
        </w:rPr>
        <w:t xml:space="preserve">Monitor signal decay </w:t>
      </w:r>
      <w:r>
        <w:rPr>
          <w:rFonts w:ascii="Arial" w:cs="Arial" w:eastAsia="Arial" w:hAnsi="Arial"/>
          <w:color w:val="333333"/>
          <w:sz w:val="22"/>
          <w:szCs w:val="22"/>
        </w:rPr>
        <w:t xml:space="preserve">via the weekly decay scan. Demote any scoring signal whose rolling walk-forward pass rate drops below 60%.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Nifty F&amp;O Trading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2026-03-22T09:39:19.787Z</dcterms:created>
  <dcterms:modified xsi:type="dcterms:W3CDTF">2026-03-22T09:39:19.788Z</dcterms:modified>
</cp:coreProperties>
</file>

<file path=docProps/custom.xml><?xml version="1.0" encoding="utf-8"?>
<Properties xmlns="http://schemas.openxmlformats.org/officeDocument/2006/custom-properties" xmlns:vt="http://schemas.openxmlformats.org/officeDocument/2006/docPropsVTypes"/>
</file>