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Requirement Specification:</w:t>
      </w:r>
    </w:p>
    <w:p>
      <w:pPr>
        <w:pStyle w:val="Subtitle"/>
      </w:pPr>
      <w:r>
        <w:t xml:space="preserve">TRUST Tech Deliverable 4a: Enable user GitLab &amp; Docker images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X2cfd0df47bee7451878e8585c9e2d43bfa43fe2"/>
    <w:p>
      <w:pPr>
        <w:pStyle w:val="Heading1"/>
      </w:pPr>
      <w:r>
        <w:t xml:space="preserve">Design Specification: TRUST Tech Deliverable 4a. Enable user GitLab &amp; Docker images</w:t>
      </w:r>
    </w:p>
    <w:bookmarkEnd w:id="20"/>
    <w:bookmarkStart w:id="39" w:name="document-title"/>
    <w:p>
      <w:pPr>
        <w:pStyle w:val="Heading1"/>
      </w:pPr>
      <w:r>
        <w:t xml:space="preserve">Document Title</w:t>
      </w:r>
    </w:p>
    <w:p>
      <w:pPr>
        <w:pStyle w:val="FirstParagraph"/>
      </w:pPr>
      <w:r>
        <w:t xml:space="preserve">Your document content goes here…</w:t>
      </w:r>
    </w:p>
    <w:p>
      <w:pPr>
        <w:pStyle w:val="BodyText"/>
      </w:pPr>
      <w:r>
        <w:rPr>
          <w:b/>
          <w:bCs/>
        </w:rPr>
        <w:t xml:space="preserve">Revision History</w:t>
      </w:r>
      <w:r>
        <w:t xml:space="preserve"> </w:t>
      </w:r>
      <w:r>
        <w:t xml:space="preserve">NA</w:t>
      </w:r>
    </w:p>
    <w:p>
      <w:pPr>
        <w:pStyle w:val="BodyText"/>
      </w:pPr>
      <w:r>
        <w:rPr>
          <w:b/>
          <w:bCs/>
        </w:rPr>
        <w:t xml:space="preserve">Prepared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Amit Karpe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Engineer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31 Jan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Reviewed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Yeo Zhen Xuan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31 Jan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Approved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Luke 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Synapxe 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31 Jan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Business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31 Jan 2025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1"/>
          <w:numId w:val="1002"/>
        </w:numPr>
      </w:pPr>
      <w:r>
        <w:t xml:space="preserve">1.1 References</w:t>
      </w:r>
    </w:p>
    <w:p>
      <w:pPr>
        <w:pStyle w:val="Compact"/>
        <w:numPr>
          <w:ilvl w:val="0"/>
          <w:numId w:val="1001"/>
        </w:numPr>
      </w:pPr>
      <w:r>
        <w:t xml:space="preserve">Application Overview</w:t>
      </w:r>
    </w:p>
    <w:p>
      <w:pPr>
        <w:pStyle w:val="Compact"/>
        <w:numPr>
          <w:ilvl w:val="1"/>
          <w:numId w:val="1003"/>
        </w:numPr>
      </w:pPr>
      <w:r>
        <w:t xml:space="preserve">2.1 Layers or architectural framework</w:t>
      </w:r>
    </w:p>
    <w:p>
      <w:pPr>
        <w:pStyle w:val="Compact"/>
        <w:numPr>
          <w:ilvl w:val="1"/>
          <w:numId w:val="1003"/>
        </w:numPr>
      </w:pPr>
      <w:r>
        <w:t xml:space="preserve">2.2 Deployment View</w:t>
      </w:r>
    </w:p>
    <w:p>
      <w:pPr>
        <w:pStyle w:val="Compact"/>
        <w:numPr>
          <w:ilvl w:val="1"/>
          <w:numId w:val="1003"/>
        </w:numPr>
      </w:pPr>
      <w:r>
        <w:t xml:space="preserve">2.3 Development View</w:t>
      </w:r>
    </w:p>
    <w:p>
      <w:pPr>
        <w:pStyle w:val="Compact"/>
        <w:numPr>
          <w:ilvl w:val="1"/>
          <w:numId w:val="1003"/>
        </w:numPr>
      </w:pPr>
      <w:r>
        <w:t xml:space="preserve">2.4 Architectural Mechanisms</w:t>
      </w:r>
    </w:p>
    <w:p>
      <w:pPr>
        <w:pStyle w:val="Compact"/>
        <w:numPr>
          <w:ilvl w:val="0"/>
          <w:numId w:val="1001"/>
        </w:numPr>
      </w:pPr>
      <w:r>
        <w:t xml:space="preserve">Architecturally significant requirements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1"/>
          <w:numId w:val="1004"/>
        </w:numPr>
      </w:pPr>
      <w:r>
        <w:t xml:space="preserve">4.1 System Security</w:t>
      </w:r>
    </w:p>
    <w:p>
      <w:pPr>
        <w:pStyle w:val="Compact"/>
        <w:numPr>
          <w:ilvl w:val="1"/>
          <w:numId w:val="1004"/>
        </w:numPr>
      </w:pPr>
      <w:r>
        <w:t xml:space="preserve">4.2 Data Security</w:t>
      </w:r>
    </w:p>
    <w:p>
      <w:pPr>
        <w:pStyle w:val="Compact"/>
        <w:numPr>
          <w:ilvl w:val="1"/>
          <w:numId w:val="1004"/>
        </w:numPr>
      </w:pPr>
      <w:r>
        <w:t xml:space="preserve">4.3 Application Security</w:t>
      </w:r>
    </w:p>
    <w:p>
      <w:pPr>
        <w:pStyle w:val="Compact"/>
        <w:numPr>
          <w:ilvl w:val="0"/>
          <w:numId w:val="1001"/>
        </w:numPr>
      </w:pPr>
      <w:r>
        <w:t xml:space="preserve">Common Modules: NA</w:t>
      </w:r>
    </w:p>
    <w:p>
      <w:pPr>
        <w:pStyle w:val="Compact"/>
        <w:numPr>
          <w:ilvl w:val="0"/>
          <w:numId w:val="1001"/>
        </w:numPr>
      </w:pPr>
      <w:r>
        <w:t xml:space="preserve">Functional Modules: NA</w:t>
      </w:r>
    </w:p>
    <w:p>
      <w:pPr>
        <w:pStyle w:val="Compact"/>
        <w:numPr>
          <w:ilvl w:val="0"/>
          <w:numId w:val="1001"/>
        </w:numPr>
      </w:pPr>
      <w:r>
        <w:t xml:space="preserve">Message / Service Interface: NA</w:t>
      </w:r>
    </w:p>
    <w:p>
      <w:pPr>
        <w:pStyle w:val="Compact"/>
        <w:numPr>
          <w:ilvl w:val="0"/>
          <w:numId w:val="1001"/>
        </w:numPr>
      </w:pPr>
      <w:r>
        <w:t xml:space="preserve">Database Design: NA</w:t>
      </w:r>
    </w:p>
    <w:p>
      <w:pPr>
        <w:pStyle w:val="Compact"/>
        <w:numPr>
          <w:ilvl w:val="0"/>
          <w:numId w:val="1005"/>
        </w:numPr>
      </w:pPr>
      <w:r>
        <w:t xml:space="preserve">Appendix A: NA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Start w:id="23" w:name="Xe3d0fc0bea9a42ce7605565d0964033d7f6ee47"/>
    <w:p>
      <w:pPr>
        <w:pStyle w:val="Heading2"/>
      </w:pPr>
      <w:r>
        <w:t xml:space="preserve">1. Introduction</w:t>
      </w:r>
    </w:p>
    <w:bookmarkStart w:id="22" w:name="X726793783ba4ae7f9802481ba226d33bdbc715c"/>
    <w:p>
      <w:pPr>
        <w:pStyle w:val="Heading3"/>
      </w:pPr>
      <w:r>
        <w:t xml:space="preserve">1.1 References</w:t>
      </w:r>
    </w:p>
    <w:p>
      <w:pPr>
        <w:pStyle w:val="Compact"/>
        <w:numPr>
          <w:ilvl w:val="0"/>
          <w:numId w:val="1006"/>
        </w:numPr>
      </w:pPr>
      <w:r>
        <w:t xml:space="preserve">GovTech GCC Security Guidelines</w:t>
      </w:r>
    </w:p>
    <w:p>
      <w:pPr>
        <w:pStyle w:val="Compact"/>
        <w:numPr>
          <w:ilvl w:val="0"/>
          <w:numId w:val="1006"/>
        </w:numPr>
      </w:pPr>
      <w:r>
        <w:t xml:space="preserve">AWS Best Practices for Multi-Account Strategy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f9f34b5ade7b74246e25285811a1147e91057fd"/>
    <w:p>
      <w:pPr>
        <w:pStyle w:val="Heading2"/>
      </w:pPr>
      <w:r>
        <w:t xml:space="preserve">2. Application Overview</w:t>
      </w:r>
    </w:p>
    <w:bookmarkStart w:id="24" w:name="Xe0a06361bc86e7a2928b678f33ca0f033c13895"/>
    <w:p>
      <w:pPr>
        <w:pStyle w:val="Heading3"/>
      </w:pPr>
      <w:r>
        <w:t xml:space="preserve">2.1 Layers or architectural framework</w:t>
      </w:r>
    </w:p>
    <w:p>
      <w:pPr>
        <w:pStyle w:val="FirstParagraph"/>
      </w:pPr>
      <w:r>
        <w:t xml:space="preserve">The solution follows a multi-account AWS architecture for hosting CloudOS and related infrastructure components:</w:t>
      </w:r>
    </w:p>
    <w:p>
      <w:pPr>
        <w:pStyle w:val="Compact"/>
        <w:numPr>
          <w:ilvl w:val="0"/>
          <w:numId w:val="1007"/>
        </w:numPr>
      </w:pPr>
      <w:r>
        <w:t xml:space="preserve">AWS Service Account: Hosts CloudOS and GitLab Server for private code repositories.</w:t>
      </w:r>
    </w:p>
    <w:p>
      <w:pPr>
        <w:pStyle w:val="Compact"/>
        <w:numPr>
          <w:ilvl w:val="0"/>
          <w:numId w:val="1007"/>
        </w:numPr>
      </w:pPr>
      <w:r>
        <w:t xml:space="preserve">AWS Workload Account: Hosts AWS Batch and AWS ECR for containerized workload execution.</w:t>
      </w:r>
    </w:p>
    <w:bookmarkEnd w:id="24"/>
    <w:bookmarkStart w:id="25" w:name="X6f8fee67925bc380eefccd3a8794a4839d42803"/>
    <w:p>
      <w:pPr>
        <w:pStyle w:val="Heading3"/>
      </w:pPr>
      <w:r>
        <w:t xml:space="preserve">2.2 Deployment View</w:t>
      </w:r>
    </w:p>
    <w:p>
      <w:pPr>
        <w:pStyle w:val="Compact"/>
        <w:numPr>
          <w:ilvl w:val="0"/>
          <w:numId w:val="1008"/>
        </w:numPr>
      </w:pPr>
      <w:r>
        <w:t xml:space="preserve">GitLab Server: Deployed in the AWS Service Account, configured for private access.</w:t>
      </w:r>
    </w:p>
    <w:p>
      <w:pPr>
        <w:pStyle w:val="Compact"/>
        <w:numPr>
          <w:ilvl w:val="0"/>
          <w:numId w:val="1008"/>
        </w:numPr>
      </w:pPr>
      <w:r>
        <w:t xml:space="preserve">AWS ECR: Deployed in the AWS Workload Account, accessible only within AWS GCC accounts.</w:t>
      </w:r>
    </w:p>
    <w:p>
      <w:pPr>
        <w:pStyle w:val="Compact"/>
        <w:numPr>
          <w:ilvl w:val="0"/>
          <w:numId w:val="1008"/>
        </w:numPr>
      </w:pPr>
      <w:r>
        <w:t xml:space="preserve">AWS Batch: Utilized for running containerized jobs, with required IAM permissions.</w:t>
      </w:r>
    </w:p>
    <w:bookmarkEnd w:id="25"/>
    <w:bookmarkStart w:id="26" w:name="X3794f7dca5f99f11e320ee3657478fc26014f22"/>
    <w:p>
      <w:pPr>
        <w:pStyle w:val="Heading3"/>
      </w:pPr>
      <w:r>
        <w:t xml:space="preserve">2.3 Development View</w:t>
      </w:r>
    </w:p>
    <w:p>
      <w:pPr>
        <w:pStyle w:val="Compact"/>
        <w:numPr>
          <w:ilvl w:val="0"/>
          <w:numId w:val="1009"/>
        </w:numPr>
      </w:pPr>
      <w:r>
        <w:t xml:space="preserve">GitLab provides private repository hosting for researchers and engineers.</w:t>
      </w:r>
    </w:p>
    <w:p>
      <w:pPr>
        <w:pStyle w:val="Compact"/>
        <w:numPr>
          <w:ilvl w:val="0"/>
          <w:numId w:val="1009"/>
        </w:numPr>
      </w:pPr>
      <w:r>
        <w:t xml:space="preserve">CI/CD workflows will be managed within GitLab to integrate with AWS Batch.</w:t>
      </w:r>
    </w:p>
    <w:p>
      <w:pPr>
        <w:pStyle w:val="Compact"/>
        <w:numPr>
          <w:ilvl w:val="0"/>
          <w:numId w:val="1009"/>
        </w:numPr>
      </w:pPr>
      <w:r>
        <w:t xml:space="preserve">AWS ECR will store and manage private container images for workloads.</w:t>
      </w:r>
    </w:p>
    <w:bookmarkEnd w:id="26"/>
    <w:bookmarkStart w:id="27" w:name="Xf25b1b57c7cd717bbba5943214a02144c1c346a"/>
    <w:p>
      <w:pPr>
        <w:pStyle w:val="Heading3"/>
      </w:pPr>
      <w:r>
        <w:t xml:space="preserve">2.4 Architectural Mechanisms</w:t>
      </w:r>
    </w:p>
    <w:p>
      <w:pPr>
        <w:pStyle w:val="Compact"/>
        <w:numPr>
          <w:ilvl w:val="0"/>
          <w:numId w:val="1010"/>
        </w:numPr>
      </w:pPr>
      <w:r>
        <w:t xml:space="preserve">Secure networking between AWS accounts using VPC peering or AWS PrivateLink.</w:t>
      </w:r>
    </w:p>
    <w:p>
      <w:pPr>
        <w:pStyle w:val="Compact"/>
        <w:numPr>
          <w:ilvl w:val="0"/>
          <w:numId w:val="1010"/>
        </w:numPr>
      </w:pPr>
      <w:r>
        <w:t xml:space="preserve">IAM roles and policies restricting access to only necessary resources.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fe8c93c5df41aa6082d521fbc27eeb07124af8"/>
    <w:p>
      <w:pPr>
        <w:pStyle w:val="Heading2"/>
      </w:pPr>
      <w:r>
        <w:t xml:space="preserve">3. Architecturally significant requirements</w:t>
      </w:r>
    </w:p>
    <w:p>
      <w:pPr>
        <w:pStyle w:val="Compact"/>
        <w:numPr>
          <w:ilvl w:val="0"/>
          <w:numId w:val="1011"/>
        </w:numPr>
      </w:pPr>
      <w:r>
        <w:t xml:space="preserve">Deployment in a non-internet environment within Singapore GCC.</w:t>
      </w:r>
    </w:p>
    <w:p>
      <w:pPr>
        <w:pStyle w:val="Compact"/>
        <w:numPr>
          <w:ilvl w:val="0"/>
          <w:numId w:val="1011"/>
        </w:numPr>
      </w:pPr>
      <w:r>
        <w:t xml:space="preserve">Secure and private access for all services.</w:t>
      </w:r>
    </w:p>
    <w:p>
      <w:pPr>
        <w:pStyle w:val="Compact"/>
        <w:numPr>
          <w:ilvl w:val="0"/>
          <w:numId w:val="1011"/>
        </w:numPr>
      </w:pPr>
      <w:r>
        <w:t xml:space="preserve">Multi-account strategy for isolation and compliance.</w:t>
      </w:r>
    </w:p>
    <w:p>
      <w:r>
        <w:pict>
          <v:rect style="width:0;height:1.5pt" o:hralign="center" o:hrstd="t" o:hr="t"/>
        </w:pict>
      </w:r>
    </w:p>
    <w:bookmarkEnd w:id="29"/>
    <w:bookmarkStart w:id="33" w:name="Xcd216216200afb0703e898683a8d10359544695"/>
    <w:p>
      <w:pPr>
        <w:pStyle w:val="Heading2"/>
      </w:pPr>
      <w:r>
        <w:t xml:space="preserve">4. Security</w:t>
      </w:r>
    </w:p>
    <w:bookmarkStart w:id="30" w:name="X40afea54190d999a755ae224bb7bde31ba28fef"/>
    <w:p>
      <w:pPr>
        <w:pStyle w:val="Heading3"/>
      </w:pPr>
      <w:r>
        <w:t xml:space="preserve">4.1 System Security</w:t>
      </w:r>
    </w:p>
    <w:p>
      <w:pPr>
        <w:pStyle w:val="Compact"/>
        <w:numPr>
          <w:ilvl w:val="0"/>
          <w:numId w:val="1012"/>
        </w:numPr>
      </w:pPr>
      <w:r>
        <w:t xml:space="preserve">Network access controls enforced via Security Groups and VPC.</w:t>
      </w:r>
    </w:p>
    <w:p>
      <w:pPr>
        <w:pStyle w:val="Compact"/>
        <w:numPr>
          <w:ilvl w:val="0"/>
          <w:numId w:val="1012"/>
        </w:numPr>
      </w:pPr>
      <w:r>
        <w:t xml:space="preserve">AWS KMS for encrypting sensitive data and images.</w:t>
      </w:r>
    </w:p>
    <w:bookmarkEnd w:id="30"/>
    <w:bookmarkStart w:id="31" w:name="X4edf851e1126629320679d00e93d58ace42779c"/>
    <w:p>
      <w:pPr>
        <w:pStyle w:val="Heading3"/>
      </w:pPr>
      <w:r>
        <w:t xml:space="preserve">4.2 Data Security</w:t>
      </w:r>
    </w:p>
    <w:p>
      <w:pPr>
        <w:pStyle w:val="Compact"/>
        <w:numPr>
          <w:ilvl w:val="0"/>
          <w:numId w:val="1013"/>
        </w:numPr>
      </w:pPr>
      <w:r>
        <w:t xml:space="preserve">No external data access permitted; all data resides within AWS GCC.</w:t>
      </w:r>
    </w:p>
    <w:p>
      <w:pPr>
        <w:pStyle w:val="Compact"/>
        <w:numPr>
          <w:ilvl w:val="0"/>
          <w:numId w:val="1013"/>
        </w:numPr>
      </w:pPr>
      <w:r>
        <w:t xml:space="preserve">Private container images stored in AWS ECR with strict access policies.</w:t>
      </w:r>
    </w:p>
    <w:bookmarkEnd w:id="31"/>
    <w:bookmarkStart w:id="32" w:name="Xfe56f53056fc040bc62ab1057abf108c1f214b6"/>
    <w:p>
      <w:pPr>
        <w:pStyle w:val="Heading3"/>
      </w:pPr>
      <w:r>
        <w:t xml:space="preserve">4.3 Application Security</w:t>
      </w:r>
    </w:p>
    <w:p>
      <w:pPr>
        <w:pStyle w:val="Compact"/>
        <w:numPr>
          <w:ilvl w:val="0"/>
          <w:numId w:val="1014"/>
        </w:numPr>
      </w:pPr>
      <w:r>
        <w:t xml:space="preserve">GitLab access restricted to authorized users only.</w:t>
      </w:r>
    </w:p>
    <w:p>
      <w:pPr>
        <w:pStyle w:val="Compact"/>
        <w:numPr>
          <w:ilvl w:val="0"/>
          <w:numId w:val="1014"/>
        </w:numPr>
      </w:pPr>
      <w:r>
        <w:t xml:space="preserve">IAM roles configured for least privilege access.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0e10987cdc8307bd731f09aee2bd57639ece92"/>
    <w:p>
      <w:pPr>
        <w:pStyle w:val="Heading2"/>
      </w:pPr>
      <w:r>
        <w:t xml:space="preserve">5. Common Modules</w:t>
      </w:r>
    </w:p>
    <w:p>
      <w:pPr>
        <w:pStyle w:val="Compact"/>
        <w:numPr>
          <w:ilvl w:val="0"/>
          <w:numId w:val="1015"/>
        </w:numPr>
      </w:pPr>
      <w:r>
        <w:t xml:space="preserve">NA</w:t>
      </w:r>
    </w:p>
    <w:p>
      <w:r>
        <w:pict>
          <v:rect style="width:0;height:1.5pt" o:hralign="center" o:hrstd="t" o:hr="t"/>
        </w:pict>
      </w:r>
    </w:p>
    <w:bookmarkEnd w:id="34"/>
    <w:bookmarkStart w:id="35" w:name="X1e2aaa9011dae236aafe7db6cfa8a50736588a6"/>
    <w:p>
      <w:pPr>
        <w:pStyle w:val="Heading2"/>
      </w:pPr>
      <w:r>
        <w:t xml:space="preserve">6. Functional Modules</w:t>
      </w:r>
    </w:p>
    <w:p>
      <w:pPr>
        <w:pStyle w:val="Compact"/>
        <w:numPr>
          <w:ilvl w:val="0"/>
          <w:numId w:val="1016"/>
        </w:numPr>
      </w:pPr>
      <w:r>
        <w:t xml:space="preserve">NA</w:t>
      </w:r>
    </w:p>
    <w:p>
      <w:r>
        <w:pict>
          <v:rect style="width:0;height:1.5pt" o:hralign="center" o:hrstd="t" o:hr="t"/>
        </w:pict>
      </w:r>
    </w:p>
    <w:bookmarkEnd w:id="35"/>
    <w:bookmarkStart w:id="36" w:name="X1d4bc5783fc24fef6fef0eaf46f0700211dae34"/>
    <w:p>
      <w:pPr>
        <w:pStyle w:val="Heading2"/>
      </w:pPr>
      <w:r>
        <w:t xml:space="preserve">7. Message / Service Interface</w:t>
      </w:r>
    </w:p>
    <w:p>
      <w:pPr>
        <w:pStyle w:val="Compact"/>
        <w:numPr>
          <w:ilvl w:val="0"/>
          <w:numId w:val="1017"/>
        </w:numPr>
      </w:pPr>
      <w:r>
        <w:t xml:space="preserve">NA</w:t>
      </w:r>
    </w:p>
    <w:p>
      <w:r>
        <w:pict>
          <v:rect style="width:0;height:1.5pt" o:hralign="center" o:hrstd="t" o:hr="t"/>
        </w:pict>
      </w:r>
    </w:p>
    <w:bookmarkEnd w:id="36"/>
    <w:bookmarkStart w:id="37" w:name="Xf39b8f1f42479e81da005ed623c5066659178f6"/>
    <w:p>
      <w:pPr>
        <w:pStyle w:val="Heading2"/>
      </w:pPr>
      <w:r>
        <w:t xml:space="preserve">8. Database Design</w:t>
      </w:r>
    </w:p>
    <w:p>
      <w:pPr>
        <w:pStyle w:val="Compact"/>
        <w:numPr>
          <w:ilvl w:val="0"/>
          <w:numId w:val="1018"/>
        </w:numPr>
      </w:pPr>
      <w:r>
        <w:t xml:space="preserve">NA</w:t>
      </w:r>
    </w:p>
    <w:p>
      <w:r>
        <w:pict>
          <v:rect style="width:0;height:1.5pt" o:hralign="center" o:hrstd="t" o:hr="t"/>
        </w:pict>
      </w:r>
    </w:p>
    <w:bookmarkEnd w:id="37"/>
    <w:bookmarkStart w:id="38" w:name="appendix-a"/>
    <w:p>
      <w:pPr>
        <w:pStyle w:val="Heading2"/>
      </w:pPr>
      <w:r>
        <w:t xml:space="preserve">Appendix A</w:t>
      </w:r>
    </w:p>
    <w:p>
      <w:pPr>
        <w:pStyle w:val="Compact"/>
        <w:numPr>
          <w:ilvl w:val="0"/>
          <w:numId w:val="1019"/>
        </w:numPr>
      </w:pPr>
      <w:r>
        <w:t xml:space="preserve">NA</w:t>
      </w:r>
    </w:p>
    <w:bookmarkEnd w:id="38"/>
    <w:bookmarkEnd w:id="39"/>
    <w:sectPr w:rsidR="00332FDE" w:rsidSect="00627530">
      <w:headerReference r:id="rId10" w:type="default"/>
      <w:footerReference r:id="rId11" w:type="default"/>
      <w:pgSz w:code="9" w:h="16834" w:w="11909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F601B" w14:textId="77777777" w:rsidR="001F2624" w:rsidRDefault="001F2624" w:rsidP="002A50F0">
    <w:pPr>
      <w:pStyle w:val="Footer"/>
      <w:pBdr>
        <w:bottom w:val="single" w:sz="6" w:space="1" w:color="auto"/>
      </w:pBdr>
      <w:tabs>
        <w:tab w:val="clear" w:pos="4680"/>
        <w:tab w:val="clear" w:pos="9360"/>
        <w:tab w:val="right" w:pos="9000"/>
      </w:tabs>
    </w:pPr>
  </w:p>
  <w:p w14:paraId="64369E9C" w14:textId="77777777" w:rsidR="001F2624" w:rsidRDefault="001F2624" w:rsidP="002A50F0">
    <w:pPr>
      <w:pStyle w:val="Footer"/>
      <w:tabs>
        <w:tab w:val="clear" w:pos="4680"/>
        <w:tab w:val="clear" w:pos="9360"/>
        <w:tab w:val="right" w:pos="9000"/>
      </w:tabs>
    </w:pPr>
  </w:p>
  <w:p w14:paraId="1E6FA65C" w14:textId="77777777" w:rsidR="001F2624" w:rsidRPr="005A363F" w:rsidRDefault="001F2624" w:rsidP="002A50F0">
    <w:pPr>
      <w:pStyle w:val="Footer"/>
      <w:tabs>
        <w:tab w:val="clear" w:pos="9360"/>
        <w:tab w:val="right" w:pos="9000"/>
      </w:tabs>
      <w:rPr>
        <w:sz w:val="16"/>
        <w:szCs w:val="18"/>
      </w:rPr>
    </w:pPr>
    <w:r w:rsidRPr="005A363F">
      <w:rPr>
        <w:sz w:val="16"/>
        <w:szCs w:val="18"/>
      </w:rPr>
      <w:t xml:space="preserve">SYNAPXE PTE LTD   </w:t>
    </w:r>
    <w:r w:rsidRPr="005A363F">
      <w:rPr>
        <w:i/>
        <w:iCs/>
        <w:sz w:val="16"/>
        <w:szCs w:val="18"/>
      </w:rPr>
      <w:t>A wholly owned company of MOH Holdings Pt</w:t>
    </w:r>
    <w:r>
      <w:rPr>
        <w:i/>
        <w:iCs/>
        <w:sz w:val="16"/>
        <w:szCs w:val="18"/>
      </w:rPr>
      <w:t>e</w:t>
    </w:r>
    <w:r w:rsidRPr="005A363F">
      <w:rPr>
        <w:i/>
        <w:iCs/>
        <w:sz w:val="16"/>
        <w:szCs w:val="18"/>
      </w:rPr>
      <w:t xml:space="preserve"> Ltd</w:t>
    </w:r>
  </w:p>
  <w:p w14:paraId="3C4DC92D" w14:textId="77777777" w:rsidR="001F2624" w:rsidRPr="002A50F0" w:rsidRDefault="001F2624" w:rsidP="002A50F0">
    <w:pPr>
      <w:pStyle w:val="Footer"/>
      <w:tabs>
        <w:tab w:val="clear" w:pos="4680"/>
        <w:tab w:val="clear" w:pos="9360"/>
        <w:tab w:val="right" w:pos="9000"/>
      </w:tabs>
    </w:pPr>
    <w:r w:rsidRPr="005A363F">
      <w:rPr>
        <w:sz w:val="16"/>
        <w:szCs w:val="18"/>
      </w:rPr>
      <w:t>Reg No. 200814464H</w:t>
    </w:r>
    <w:r w:rsidRPr="005A363F">
      <w:rPr>
        <w:sz w:val="16"/>
        <w:szCs w:val="18"/>
      </w:rPr>
      <w:tab/>
    </w:r>
    <w:r w:rsidRPr="005A363F">
      <w:rPr>
        <w:sz w:val="16"/>
        <w:szCs w:val="18"/>
      </w:rPr>
      <w:fldChar w:fldCharType="begin"/>
    </w:r>
    <w:r w:rsidRPr="005A363F">
      <w:rPr>
        <w:sz w:val="16"/>
        <w:szCs w:val="18"/>
      </w:rPr>
      <w:instrText xml:space="preserve"> PAGE   \* MERGEFORMAT </w:instrText>
    </w:r>
    <w:r w:rsidRPr="005A363F">
      <w:rPr>
        <w:sz w:val="16"/>
        <w:szCs w:val="18"/>
      </w:rPr>
      <w:fldChar w:fldCharType="separate"/>
    </w:r>
    <w:r>
      <w:rPr>
        <w:sz w:val="16"/>
        <w:szCs w:val="18"/>
      </w:rPr>
      <w:t>1</w:t>
    </w:r>
    <w:r w:rsidRPr="005A363F">
      <w:rPr>
        <w:noProof/>
        <w:sz w:val="16"/>
        <w:szCs w:val="18"/>
      </w:rPr>
      <w:fldChar w:fldCharType="end"/>
    </w:r>
    <w:r w:rsidRPr="005A363F">
      <w:rPr>
        <w:noProof/>
        <w:sz w:val="16"/>
        <w:szCs w:val="18"/>
      </w:rPr>
      <w:t xml:space="preserve"> / </w:t>
    </w:r>
    <w:r w:rsidRPr="005A363F">
      <w:rPr>
        <w:noProof/>
        <w:sz w:val="16"/>
        <w:szCs w:val="18"/>
      </w:rPr>
      <w:fldChar w:fldCharType="begin"/>
    </w:r>
    <w:r w:rsidRPr="005A363F">
      <w:rPr>
        <w:noProof/>
        <w:sz w:val="16"/>
        <w:szCs w:val="18"/>
      </w:rPr>
      <w:instrText xml:space="preserve"> NUMPAGES  \* Arabic  \* MERGEFORMAT </w:instrText>
    </w:r>
    <w:r w:rsidRPr="005A363F">
      <w:rPr>
        <w:noProof/>
        <w:sz w:val="16"/>
        <w:szCs w:val="18"/>
      </w:rPr>
      <w:fldChar w:fldCharType="separate"/>
    </w:r>
    <w:r>
      <w:rPr>
        <w:noProof/>
        <w:sz w:val="16"/>
        <w:szCs w:val="18"/>
      </w:rPr>
      <w:t>12</w:t>
    </w:r>
    <w:r w:rsidRPr="005A363F">
      <w:rPr>
        <w:noProof/>
        <w:sz w:val="16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68DA5" w14:textId="77777777" w:rsidR="001F2624" w:rsidRPr="00976B05" w:rsidRDefault="001F2624" w:rsidP="00332FDE">
    <w:pPr>
      <w:pStyle w:val="Header"/>
      <w:rPr>
        <w:rFonts w:cs="Arial"/>
        <w:noProof/>
        <w:sz w:val="19"/>
        <w:szCs w:val="19"/>
        <w:lang w:val="en-SG" w:eastAsia="en-SG"/>
      </w:rPr>
    </w:pPr>
    <w:bookmarkStart w:id="0" w:name="_Hlk139027511"/>
  </w:p>
  <w:p w14:paraId="35D4D88C" w14:textId="77777777" w:rsidR="001F2624" w:rsidRPr="00976B05" w:rsidRDefault="001F2624" w:rsidP="00332FDE">
    <w:pPr>
      <w:pStyle w:val="Header"/>
      <w:rPr>
        <w:rFonts w:cs="Arial"/>
        <w:noProof/>
        <w:sz w:val="19"/>
        <w:szCs w:val="19"/>
        <w:lang w:val="en-SG" w:eastAsia="en-SG"/>
      </w:rPr>
    </w:pPr>
  </w:p>
  <w:p w14:paraId="41843206" w14:textId="77777777" w:rsidR="001F2624" w:rsidRPr="00976B05" w:rsidRDefault="001F2624" w:rsidP="00332FDE">
    <w:pPr>
      <w:pStyle w:val="Header"/>
      <w:rPr>
        <w:rFonts w:cs="Arial"/>
        <w:noProof/>
        <w:sz w:val="19"/>
        <w:szCs w:val="19"/>
        <w:lang w:val="en-SG" w:eastAsia="en-SG"/>
      </w:rPr>
    </w:pPr>
  </w:p>
  <w:p w14:paraId="077FEEBE" w14:textId="77777777" w:rsidR="001F2624" w:rsidRPr="000029E2" w:rsidRDefault="001F2624" w:rsidP="00332FDE">
    <w:pPr>
      <w:pStyle w:val="Header"/>
      <w:rPr>
        <w:rFonts w:cs="Arial"/>
        <w:sz w:val="16"/>
        <w:szCs w:val="16"/>
      </w:rPr>
    </w:pPr>
    <w:r>
      <w:rPr>
        <w:noProof/>
        <w:lang w:val="en-SG" w:eastAsia="en-SG"/>
      </w:rPr>
      <w:drawing>
        <wp:anchor distT="0" distB="0" distL="114300" distR="114300" simplePos="0" relativeHeight="251657216" behindDoc="1" locked="0" layoutInCell="1" allowOverlap="1" wp14:anchorId="3FF91C77" wp14:editId="52C5C65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588400" cy="997200"/>
          <wp:effectExtent l="0" t="0" r="254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8400" cy="99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029E2">
      <w:rPr>
        <w:rFonts w:cs="Arial"/>
        <w:noProof/>
        <w:sz w:val="16"/>
        <w:szCs w:val="16"/>
        <w:lang w:val="en-SG" w:eastAsia="en-SG"/>
      </w:rPr>
      <w:t>RESTRICTED</w:t>
    </w:r>
    <w:r>
      <w:rPr>
        <w:rFonts w:cs="Arial"/>
        <w:noProof/>
        <w:sz w:val="16"/>
        <w:szCs w:val="16"/>
        <w:lang w:val="en-SG" w:eastAsia="en-SG"/>
      </w:rPr>
      <w:t>,</w:t>
    </w:r>
    <w:r w:rsidRPr="000029E2">
      <w:rPr>
        <w:rFonts w:cs="Arial"/>
        <w:noProof/>
        <w:sz w:val="16"/>
        <w:szCs w:val="16"/>
        <w:lang w:val="en-SG" w:eastAsia="en-SG"/>
      </w:rPr>
      <w:t xml:space="preserve"> </w:t>
    </w:r>
    <w:r w:rsidRPr="000029E2">
      <w:rPr>
        <w:rFonts w:cs="Arial"/>
        <w:b/>
        <w:noProof/>
        <w:sz w:val="16"/>
        <w:szCs w:val="16"/>
        <w:lang w:val="en-SG" w:eastAsia="en-SG"/>
      </w:rPr>
      <w:t>SENSITIVE</w:t>
    </w:r>
    <w:r>
      <w:rPr>
        <w:rFonts w:cs="Arial"/>
        <w:b/>
        <w:noProof/>
        <w:sz w:val="16"/>
        <w:szCs w:val="16"/>
        <w:lang w:val="en-SG" w:eastAsia="en-SG"/>
      </w:rPr>
      <w:t xml:space="preserve"> (NORMAL)</w:t>
    </w:r>
  </w:p>
  <w:bookmarkEnd w:id="0"/>
  <w:p w14:paraId="51F6AB57" w14:textId="77777777" w:rsidR="001F2624" w:rsidRDefault="001F2624" w:rsidP="00332FDE">
    <w:pPr>
      <w:pStyle w:val="Header"/>
      <w:pBdr>
        <w:bottom w:val="single" w:sz="6" w:space="1" w:color="auto"/>
      </w:pBdr>
      <w:tabs>
        <w:tab w:val="clear" w:pos="9360"/>
        <w:tab w:val="right" w:pos="9000"/>
      </w:tabs>
    </w:pPr>
  </w:p>
  <w:p w14:paraId="7F180AE8" w14:textId="77777777" w:rsidR="001F2624" w:rsidRPr="00332FDE" w:rsidRDefault="001F2624" w:rsidP="00332F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B25FA" w14:textId="77777777" w:rsidR="001F2624" w:rsidRPr="00976B05" w:rsidRDefault="001F2624" w:rsidP="00332FDE">
    <w:pPr>
      <w:pStyle w:val="Header"/>
      <w:rPr>
        <w:rFonts w:cs="Arial"/>
        <w:noProof/>
        <w:sz w:val="19"/>
        <w:szCs w:val="19"/>
        <w:lang w:val="en-SG" w:eastAsia="en-SG"/>
      </w:rPr>
    </w:pPr>
  </w:p>
  <w:p w14:paraId="01ECAD6F" w14:textId="77777777" w:rsidR="001F2624" w:rsidRPr="00976B05" w:rsidRDefault="001F2624" w:rsidP="00332FDE">
    <w:pPr>
      <w:pStyle w:val="Header"/>
      <w:rPr>
        <w:rFonts w:cs="Arial"/>
        <w:noProof/>
        <w:sz w:val="19"/>
        <w:szCs w:val="19"/>
        <w:lang w:val="en-SG" w:eastAsia="en-SG"/>
      </w:rPr>
    </w:pPr>
  </w:p>
  <w:p w14:paraId="6FC624FB" w14:textId="77777777" w:rsidR="001F2624" w:rsidRPr="00976B05" w:rsidRDefault="001F2624" w:rsidP="00332FDE">
    <w:pPr>
      <w:pStyle w:val="Header"/>
      <w:rPr>
        <w:rFonts w:cs="Arial"/>
        <w:noProof/>
        <w:sz w:val="19"/>
        <w:szCs w:val="19"/>
        <w:lang w:val="en-SG" w:eastAsia="en-SG"/>
      </w:rPr>
    </w:pPr>
  </w:p>
  <w:p w14:paraId="1F85B117" w14:textId="77777777" w:rsidR="001F2624" w:rsidRPr="000029E2" w:rsidRDefault="001F2624" w:rsidP="00332FDE">
    <w:pPr>
      <w:pStyle w:val="Header"/>
      <w:rPr>
        <w:rFonts w:cs="Arial"/>
        <w:sz w:val="16"/>
        <w:szCs w:val="16"/>
      </w:rPr>
    </w:pPr>
    <w:r w:rsidRPr="000029E2">
      <w:rPr>
        <w:rFonts w:cs="Arial"/>
        <w:noProof/>
        <w:sz w:val="16"/>
        <w:szCs w:val="16"/>
        <w:lang w:val="en-SG" w:eastAsia="en-SG"/>
      </w:rPr>
      <w:t>RESTRICTED</w:t>
    </w:r>
    <w:r>
      <w:rPr>
        <w:rFonts w:cs="Arial"/>
        <w:noProof/>
        <w:sz w:val="16"/>
        <w:szCs w:val="16"/>
        <w:lang w:val="en-SG" w:eastAsia="en-SG"/>
      </w:rPr>
      <w:t>,</w:t>
    </w:r>
    <w:r w:rsidRPr="000029E2">
      <w:rPr>
        <w:rFonts w:cs="Arial"/>
        <w:noProof/>
        <w:sz w:val="16"/>
        <w:szCs w:val="16"/>
        <w:lang w:val="en-SG" w:eastAsia="en-SG"/>
      </w:rPr>
      <w:t xml:space="preserve"> </w:t>
    </w:r>
    <w:r w:rsidRPr="000029E2">
      <w:rPr>
        <w:rFonts w:cs="Arial"/>
        <w:b/>
        <w:noProof/>
        <w:sz w:val="16"/>
        <w:szCs w:val="16"/>
        <w:lang w:val="en-SG" w:eastAsia="en-SG"/>
      </w:rPr>
      <w:t>SENSITIVE</w:t>
    </w:r>
    <w:r>
      <w:rPr>
        <w:rFonts w:cs="Arial"/>
        <w:b/>
        <w:noProof/>
        <w:sz w:val="16"/>
        <w:szCs w:val="16"/>
        <w:lang w:val="en-SG" w:eastAsia="en-SG"/>
      </w:rPr>
      <w:t xml:space="preserve"> (NORMAL)</w:t>
    </w:r>
  </w:p>
  <w:p w14:paraId="66E78C28" w14:textId="77777777" w:rsidR="001F2624" w:rsidRDefault="001F2624" w:rsidP="00332FDE">
    <w:pPr>
      <w:pStyle w:val="Header"/>
      <w:pBdr>
        <w:bottom w:val="single" w:sz="6" w:space="1" w:color="auto"/>
      </w:pBdr>
      <w:tabs>
        <w:tab w:val="clear" w:pos="9360"/>
        <w:tab w:val="right" w:pos="9000"/>
      </w:tabs>
    </w:pPr>
  </w:p>
  <w:p w14:paraId="5BF8BB56" w14:textId="77777777" w:rsidR="001F2624" w:rsidRPr="00332FDE" w:rsidRDefault="001F2624" w:rsidP="00332FD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AFF5ADA"/>
    <w:multiLevelType w:val="multilevel"/>
    <w:tmpl w:val="0866946A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1">
    <w:nsid w:val="339A5D0C"/>
    <w:multiLevelType w:val="hybridMultilevel"/>
    <w:tmpl w:val="3768FBEA"/>
    <w:lvl w:ilvl="0" w:tplc="10DC2EB4">
      <w:start w:val="1"/>
      <w:numFmt w:val="upperLetter"/>
      <w:lvlText w:val="Appendix %1."/>
      <w:lvlJc w:val="left"/>
      <w:pPr>
        <w:ind w:hanging="360" w:left="720"/>
      </w:pPr>
      <w:rPr>
        <w:rFonts w:hint="default"/>
      </w:rPr>
    </w:lvl>
    <w:lvl w:ilvl="1" w:tentative="1" w:tplc="1D50F058">
      <w:start w:val="1"/>
      <w:numFmt w:val="lowerLetter"/>
      <w:lvlText w:val="%2."/>
      <w:lvlJc w:val="left"/>
      <w:pPr>
        <w:ind w:hanging="360" w:left="1440"/>
      </w:pPr>
    </w:lvl>
    <w:lvl w:ilvl="2" w:tentative="1" w:tplc="2244D6C4">
      <w:start w:val="1"/>
      <w:numFmt w:val="lowerRoman"/>
      <w:lvlText w:val="%3."/>
      <w:lvlJc w:val="right"/>
      <w:pPr>
        <w:ind w:hanging="180" w:left="2160"/>
      </w:pPr>
    </w:lvl>
    <w:lvl w:ilvl="3" w:tentative="1" w:tplc="C6F8D386">
      <w:start w:val="1"/>
      <w:numFmt w:val="decimal"/>
      <w:lvlText w:val="%4."/>
      <w:lvlJc w:val="left"/>
      <w:pPr>
        <w:ind w:hanging="360" w:left="2880"/>
      </w:pPr>
    </w:lvl>
    <w:lvl w:ilvl="4" w:tentative="1" w:tplc="5B88C506">
      <w:start w:val="1"/>
      <w:numFmt w:val="lowerLetter"/>
      <w:lvlText w:val="%5."/>
      <w:lvlJc w:val="left"/>
      <w:pPr>
        <w:ind w:hanging="360" w:left="3600"/>
      </w:pPr>
    </w:lvl>
    <w:lvl w:ilvl="5" w:tentative="1" w:tplc="1EB80148">
      <w:start w:val="1"/>
      <w:numFmt w:val="lowerRoman"/>
      <w:lvlText w:val="%6."/>
      <w:lvlJc w:val="right"/>
      <w:pPr>
        <w:ind w:hanging="180" w:left="4320"/>
      </w:pPr>
    </w:lvl>
    <w:lvl w:ilvl="6" w:tentative="1" w:tplc="91B40FC4">
      <w:start w:val="1"/>
      <w:numFmt w:val="decimal"/>
      <w:lvlText w:val="%7."/>
      <w:lvlJc w:val="left"/>
      <w:pPr>
        <w:ind w:hanging="360" w:left="5040"/>
      </w:pPr>
    </w:lvl>
    <w:lvl w:ilvl="7" w:tentative="1" w:tplc="5352CE3A">
      <w:start w:val="1"/>
      <w:numFmt w:val="lowerLetter"/>
      <w:lvlText w:val="%8."/>
      <w:lvlJc w:val="left"/>
      <w:pPr>
        <w:ind w:hanging="360" w:left="5760"/>
      </w:pPr>
    </w:lvl>
    <w:lvl w:ilvl="8" w:tentative="1" w:tplc="2E028A6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4CA75A4F"/>
    <w:multiLevelType w:val="multilevel"/>
    <w:tmpl w:val="4394EAD8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3">
    <w:nsid w:val="70652BC3"/>
    <w:multiLevelType w:val="multilevel"/>
    <w:tmpl w:val="810C1D58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4">
    <w:nsid w:val="725C0B46"/>
    <w:multiLevelType w:val="hybridMultilevel"/>
    <w:tmpl w:val="BB040468"/>
    <w:lvl w:ilvl="0" w:tplc="2362D0B6">
      <w:start w:val="1"/>
      <w:numFmt w:val="upperLetter"/>
      <w:pStyle w:val="Appendix"/>
      <w:lvlText w:val="Appendix %1"/>
      <w:lvlJc w:val="left"/>
      <w:pPr>
        <w:ind w:hanging="360" w:left="360"/>
      </w:pPr>
      <w:rPr>
        <w:rFonts w:hint="default"/>
      </w:rPr>
    </w:lvl>
    <w:lvl w:ilvl="1" w:tentative="1" w:tplc="6DD044D0">
      <w:start w:val="1"/>
      <w:numFmt w:val="lowerLetter"/>
      <w:lvlText w:val="%2."/>
      <w:lvlJc w:val="left"/>
      <w:pPr>
        <w:ind w:hanging="360" w:left="1440"/>
      </w:pPr>
    </w:lvl>
    <w:lvl w:ilvl="2" w:tentative="1" w:tplc="5D7E2034">
      <w:start w:val="1"/>
      <w:numFmt w:val="lowerRoman"/>
      <w:lvlText w:val="%3."/>
      <w:lvlJc w:val="right"/>
      <w:pPr>
        <w:ind w:hanging="180" w:left="2160"/>
      </w:pPr>
    </w:lvl>
    <w:lvl w:ilvl="3" w:tentative="1" w:tplc="B51C8892">
      <w:start w:val="1"/>
      <w:numFmt w:val="decimal"/>
      <w:lvlText w:val="%4."/>
      <w:lvlJc w:val="left"/>
      <w:pPr>
        <w:ind w:hanging="360" w:left="2880"/>
      </w:pPr>
    </w:lvl>
    <w:lvl w:ilvl="4" w:tentative="1" w:tplc="B178F4D0">
      <w:start w:val="1"/>
      <w:numFmt w:val="lowerLetter"/>
      <w:lvlText w:val="%5."/>
      <w:lvlJc w:val="left"/>
      <w:pPr>
        <w:ind w:hanging="360" w:left="3600"/>
      </w:pPr>
    </w:lvl>
    <w:lvl w:ilvl="5" w:tentative="1" w:tplc="7658A454">
      <w:start w:val="1"/>
      <w:numFmt w:val="lowerRoman"/>
      <w:lvlText w:val="%6."/>
      <w:lvlJc w:val="right"/>
      <w:pPr>
        <w:ind w:hanging="180" w:left="4320"/>
      </w:pPr>
    </w:lvl>
    <w:lvl w:ilvl="6" w:tentative="1" w:tplc="D6F4CE94">
      <w:start w:val="1"/>
      <w:numFmt w:val="decimal"/>
      <w:lvlText w:val="%7."/>
      <w:lvlJc w:val="left"/>
      <w:pPr>
        <w:ind w:hanging="360" w:left="5040"/>
      </w:pPr>
    </w:lvl>
    <w:lvl w:ilvl="7" w:tentative="1" w:tplc="80E2FE5C">
      <w:start w:val="1"/>
      <w:numFmt w:val="lowerLetter"/>
      <w:lvlText w:val="%8."/>
      <w:lvlJc w:val="left"/>
      <w:pPr>
        <w:ind w:hanging="360" w:left="5760"/>
      </w:pPr>
    </w:lvl>
    <w:lvl w:ilvl="8" w:tentative="1" w:tplc="9FD8880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793075A3"/>
    <w:multiLevelType w:val="hybridMultilevel"/>
    <w:tmpl w:val="90DE1636"/>
    <w:lvl w:ilvl="0" w:tplc="E692FA7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230CDD98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D0108E8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8674755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E4C299A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90E410D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6FC8DC7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D8FE0B38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D5D6118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91648681" w:numId="1">
    <w:abstractNumId w:val="1"/>
  </w:num>
  <w:num w16cid:durableId="1133644610" w:numId="2">
    <w:abstractNumId w:val="2"/>
  </w:num>
  <w:num w16cid:durableId="662900401" w:numId="3">
    <w:abstractNumId w:val="0"/>
  </w:num>
  <w:num w16cid:durableId="1347442718" w:numId="4">
    <w:abstractNumId w:val="4"/>
  </w:num>
  <w:num w16cid:durableId="1271475243" w:numId="5">
    <w:abstractNumId w:val="5"/>
  </w:num>
  <w:num w16cid:durableId="1100487082" w:numId="6">
    <w:abstractNumId w:val="0"/>
    <w:lvlOverride w:ilvl="0">
      <w:lvl w:ilvl="0">
        <w:start w:val="1"/>
        <w:numFmt w:val="decimal"/>
        <w:lvlText w:val="%1."/>
        <w:lvlJc w:val="left"/>
        <w:pPr>
          <w:tabs>
            <w:tab w:pos="720" w:val="num"/>
          </w:tabs>
          <w:ind w:hanging="720" w:left="72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tabs>
            <w:tab w:pos="720" w:val="num"/>
          </w:tabs>
          <w:ind w:hanging="720" w:left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tabs>
            <w:tab w:pos="720" w:val="num"/>
          </w:tabs>
          <w:ind w:hanging="720" w:left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tabs>
            <w:tab w:pos="720" w:val="num"/>
          </w:tabs>
          <w:ind w:hanging="720" w:left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tabs>
            <w:tab w:pos="1080" w:val="num"/>
          </w:tabs>
          <w:ind w:hanging="1080" w:left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tabs>
            <w:tab w:pos="1080" w:val="num"/>
          </w:tabs>
          <w:ind w:hanging="1080" w:left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tabs>
            <w:tab w:pos="1440" w:val="num"/>
          </w:tabs>
          <w:ind w:hanging="1440" w:left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tabs>
            <w:tab w:pos="1440" w:val="num"/>
          </w:tabs>
          <w:ind w:hanging="1440" w:left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tabs>
            <w:tab w:pos="1800" w:val="num"/>
          </w:tabs>
          <w:ind w:hanging="1800" w:left="1800"/>
        </w:pPr>
        <w:rPr>
          <w:rFonts w:hint="default"/>
        </w:rPr>
      </w:lvl>
    </w:lvlOverride>
  </w:num>
  <w:num w16cid:durableId="1768116261" w:numId="7">
    <w:abstractNumId w:val="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hideGrammaticalErrors/>
  <w:proofState w:grammar="clean" w:spelling="clean"/>
  <w:stylePaneFormatFilter w:val="0004"/>
  <w:doNotTrackMoves/>
  <w:defaultTabStop w:val="720"/>
  <w:drawingGridHorizontalSpacing w:val="100"/>
  <w:drawingGridVerticalSpacing w:val="360"/>
  <w:displayHorizontalDrawingGridEvery w:val="2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0BA"/>
    <w:rsid w:val="001620BA"/>
    <w:rsid w:val="001F262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cs="Times New Roman" w:eastAsia="SimSun" w:hAnsi="Calibri"/>
        <w:lang w:bidi="ar-SA" w:eastAsia="zh-CN" w:val="en-SG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Normal" w:type="paragraph">
    <w:name w:val="Normal"/>
    <w:qFormat/>
    <w:rsid w:val="001424CD"/>
    <w:rPr>
      <w:rFonts w:ascii="Arial" w:hAnsi="Arial"/>
      <w:szCs w:val="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183B58"/>
    <w:pPr>
      <w:keepNext/>
      <w:pageBreakBefore/>
      <w:numPr>
        <w:numId w:val="7"/>
      </w:numPr>
      <w:spacing w:line="480" w:lineRule="auto"/>
      <w:ind w:hanging="720" w:left="720"/>
      <w:outlineLvl w:val="0"/>
    </w:pPr>
    <w:rPr>
      <w:b/>
      <w:bCs/>
      <w:caps/>
      <w:color w:val="00000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423AC"/>
    <w:pPr>
      <w:keepNext/>
      <w:numPr>
        <w:ilvl w:val="1"/>
        <w:numId w:val="7"/>
      </w:numPr>
      <w:spacing w:line="360" w:lineRule="auto"/>
      <w:ind w:hanging="720" w:left="720"/>
      <w:outlineLvl w:val="1"/>
    </w:pPr>
    <w:rPr>
      <w:bCs/>
      <w:iCs/>
      <w:szCs w:val="28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1518F7"/>
    <w:pPr>
      <w:keepNext/>
      <w:numPr>
        <w:ilvl w:val="2"/>
        <w:numId w:val="7"/>
      </w:numPr>
      <w:spacing w:line="360" w:lineRule="auto"/>
      <w:outlineLvl w:val="2"/>
    </w:pPr>
    <w:rPr>
      <w:bCs/>
      <w:szCs w:val="26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791E62"/>
    <w:pPr>
      <w:keepNext/>
      <w:numPr>
        <w:ilvl w:val="3"/>
        <w:numId w:val="7"/>
      </w:numPr>
      <w:spacing w:after="60" w:before="240" w:line="360" w:lineRule="auto"/>
      <w:ind w:hanging="720" w:left="720"/>
      <w:outlineLvl w:val="3"/>
    </w:pPr>
    <w:rPr>
      <w:bCs/>
      <w:szCs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A0BB8"/>
    <w:pPr>
      <w:numPr>
        <w:ilvl w:val="4"/>
        <w:numId w:val="7"/>
      </w:numPr>
      <w:spacing w:after="60" w:before="240"/>
      <w:outlineLvl w:val="4"/>
    </w:pPr>
    <w:rPr>
      <w:rFonts w:ascii="Calibri" w:hAnsi="Calibri"/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EA0BB8"/>
    <w:pPr>
      <w:numPr>
        <w:ilvl w:val="5"/>
        <w:numId w:val="7"/>
      </w:numPr>
      <w:spacing w:after="60" w:before="240"/>
      <w:outlineLvl w:val="5"/>
    </w:pPr>
    <w:rPr>
      <w:rFonts w:ascii="Calibri" w:hAnsi="Calibri"/>
      <w:b/>
      <w:bCs/>
      <w:sz w:val="22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EA0BB8"/>
    <w:pPr>
      <w:numPr>
        <w:ilvl w:val="6"/>
        <w:numId w:val="7"/>
      </w:numPr>
      <w:spacing w:after="60" w:before="240"/>
      <w:outlineLvl w:val="6"/>
    </w:pPr>
    <w:rPr>
      <w:rFonts w:ascii="Calibri" w:hAnsi="Calibri"/>
      <w:sz w:val="24"/>
      <w:szCs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EA0BB8"/>
    <w:pPr>
      <w:numPr>
        <w:ilvl w:val="7"/>
        <w:numId w:val="7"/>
      </w:numPr>
      <w:spacing w:after="60" w:before="240"/>
      <w:outlineLvl w:val="7"/>
    </w:pPr>
    <w:rPr>
      <w:rFonts w:ascii="Calibri" w:hAnsi="Calibri"/>
      <w:i/>
      <w:iCs/>
      <w:sz w:val="24"/>
      <w:szCs w:val="24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EA0BB8"/>
    <w:pPr>
      <w:numPr>
        <w:ilvl w:val="8"/>
        <w:numId w:val="7"/>
      </w:numPr>
      <w:spacing w:after="60" w:before="240"/>
      <w:outlineLvl w:val="8"/>
    </w:pPr>
    <w:rPr>
      <w:rFonts w:ascii="Cambria" w:hAnsi="Cambria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ppendix" w:type="paragraph">
    <w:name w:val="Appendix"/>
    <w:basedOn w:val="Normal"/>
    <w:next w:val="Normal"/>
    <w:autoRedefine/>
    <w:qFormat/>
    <w:rsid w:val="00660046"/>
    <w:pPr>
      <w:pageBreakBefore/>
      <w:numPr>
        <w:numId w:val="4"/>
      </w:numPr>
      <w:spacing w:before="200" w:line="480" w:lineRule="auto"/>
    </w:pPr>
    <w:rPr>
      <w:rFonts w:cs="Arial" w:eastAsia="Times New Roman"/>
      <w:b/>
      <w:caps/>
      <w:lang w:eastAsia="en-US"/>
    </w:rPr>
  </w:style>
  <w:style w:customStyle="1" w:styleId="Heading1Char" w:type="character">
    <w:name w:val="Heading 1 Char"/>
    <w:basedOn w:val="DefaultParagraphFont"/>
    <w:link w:val="Heading1"/>
    <w:uiPriority w:val="9"/>
    <w:rsid w:val="00183B58"/>
    <w:rPr>
      <w:rFonts w:ascii="Arial" w:hAnsi="Arial"/>
      <w:b/>
      <w:bCs/>
      <w:caps/>
      <w:color w:val="000000"/>
      <w:szCs w:val="28"/>
    </w:rPr>
  </w:style>
  <w:style w:styleId="Header" w:type="paragraph">
    <w:name w:val="header"/>
    <w:basedOn w:val="Normal"/>
    <w:link w:val="HeaderChar"/>
    <w:uiPriority w:val="99"/>
    <w:unhideWhenUsed/>
    <w:rsid w:val="004649F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4649FE"/>
  </w:style>
  <w:style w:styleId="Footer" w:type="paragraph">
    <w:name w:val="footer"/>
    <w:basedOn w:val="Normal"/>
    <w:link w:val="FooterChar"/>
    <w:uiPriority w:val="99"/>
    <w:unhideWhenUsed/>
    <w:rsid w:val="004649F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4649FE"/>
  </w:style>
  <w:style w:styleId="BalloonText" w:type="paragraph">
    <w:name w:val="Balloon Text"/>
    <w:basedOn w:val="Normal"/>
    <w:link w:val="BalloonTextChar"/>
    <w:uiPriority w:val="99"/>
    <w:semiHidden/>
    <w:unhideWhenUsed/>
    <w:rsid w:val="004649FE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4649FE"/>
    <w:rPr>
      <w:rFonts w:ascii="Tahoma" w:cs="Tahoma" w:hAnsi="Tahoma"/>
      <w:sz w:val="16"/>
      <w:szCs w:val="16"/>
    </w:rPr>
  </w:style>
  <w:style w:customStyle="1" w:styleId="Default" w:type="paragraph">
    <w:name w:val="Default"/>
    <w:rsid w:val="00443094"/>
    <w:pPr>
      <w:widowControl w:val="0"/>
      <w:autoSpaceDE w:val="0"/>
      <w:autoSpaceDN w:val="0"/>
      <w:adjustRightInd w:val="0"/>
    </w:pPr>
    <w:rPr>
      <w:rFonts w:ascii="Helvetica" w:cs="Helvetica" w:eastAsia="Times New Roman" w:hAnsi="Helvetica"/>
      <w:color w:val="000000"/>
      <w:sz w:val="24"/>
      <w:szCs w:val="24"/>
      <w:lang w:eastAsia="en-US"/>
    </w:rPr>
  </w:style>
  <w:style w:styleId="TOCHeading" w:type="paragraph">
    <w:name w:val="TOC Heading"/>
    <w:basedOn w:val="Normal"/>
    <w:next w:val="Normal"/>
    <w:uiPriority w:val="39"/>
    <w:unhideWhenUsed/>
    <w:qFormat/>
    <w:rsid w:val="0037248A"/>
    <w:pPr>
      <w:spacing w:line="480" w:lineRule="auto"/>
      <w:jc w:val="center"/>
    </w:pPr>
    <w:rPr>
      <w:b/>
      <w:lang w:eastAsia="en-US"/>
    </w:rPr>
  </w:style>
  <w:style w:styleId="TOC1" w:type="paragraph">
    <w:name w:val="toc 1"/>
    <w:basedOn w:val="Normal"/>
    <w:next w:val="Normal"/>
    <w:autoRedefine/>
    <w:uiPriority w:val="39"/>
    <w:unhideWhenUsed/>
    <w:qFormat/>
    <w:rsid w:val="004113B3"/>
    <w:pPr>
      <w:spacing w:line="360" w:lineRule="auto"/>
    </w:pPr>
    <w:rPr>
      <w:caps/>
    </w:rPr>
  </w:style>
  <w:style w:styleId="Hyperlink" w:type="character">
    <w:name w:val="Hyperlink"/>
    <w:basedOn w:val="DefaultParagraphFont"/>
    <w:uiPriority w:val="99"/>
    <w:unhideWhenUsed/>
    <w:rsid w:val="00547AA2"/>
    <w:rPr>
      <w:color w:val="0000FF"/>
      <w:u w:val="single"/>
    </w:rPr>
  </w:style>
  <w:style w:styleId="TableGrid" w:type="table">
    <w:name w:val="Table Grid"/>
    <w:basedOn w:val="TableNormal"/>
    <w:uiPriority w:val="59"/>
    <w:rsid w:val="0044032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OC2" w:type="paragraph">
    <w:name w:val="toc 2"/>
    <w:basedOn w:val="Normal"/>
    <w:next w:val="Normal"/>
    <w:autoRedefine/>
    <w:uiPriority w:val="39"/>
    <w:unhideWhenUsed/>
    <w:qFormat/>
    <w:rsid w:val="009979B3"/>
    <w:pPr>
      <w:spacing w:line="360" w:lineRule="auto"/>
      <w:ind w:left="216"/>
    </w:pPr>
    <w:rPr>
      <w:lang w:eastAsia="en-US"/>
    </w:rPr>
  </w:style>
  <w:style w:styleId="TOC3" w:type="paragraph">
    <w:name w:val="toc 3"/>
    <w:basedOn w:val="Normal"/>
    <w:next w:val="Normal"/>
    <w:autoRedefine/>
    <w:uiPriority w:val="39"/>
    <w:unhideWhenUsed/>
    <w:qFormat/>
    <w:rsid w:val="009979B3"/>
    <w:pPr>
      <w:spacing w:line="360" w:lineRule="auto"/>
      <w:ind w:left="446"/>
    </w:pPr>
    <w:rPr>
      <w:lang w:eastAsia="en-US"/>
    </w:rPr>
  </w:style>
  <w:style w:styleId="NoSpacing" w:type="paragraph">
    <w:name w:val="No Spacing"/>
    <w:link w:val="NoSpacingChar"/>
    <w:uiPriority w:val="1"/>
    <w:qFormat/>
    <w:rsid w:val="004D20E0"/>
    <w:rPr>
      <w:sz w:val="22"/>
      <w:szCs w:val="22"/>
      <w:lang w:eastAsia="en-US"/>
    </w:rPr>
  </w:style>
  <w:style w:customStyle="1" w:styleId="NoSpacingChar" w:type="character">
    <w:name w:val="No Spacing Char"/>
    <w:basedOn w:val="DefaultParagraphFont"/>
    <w:link w:val="NoSpacing"/>
    <w:uiPriority w:val="1"/>
    <w:rsid w:val="004D20E0"/>
    <w:rPr>
      <w:sz w:val="22"/>
      <w:szCs w:val="22"/>
      <w:lang w:bidi="ar-SA" w:eastAsia="en-US" w:val="en-SG"/>
    </w:rPr>
  </w:style>
  <w:style w:customStyle="1" w:styleId="Heading2Char" w:type="character">
    <w:name w:val="Heading 2 Char"/>
    <w:basedOn w:val="DefaultParagraphFont"/>
    <w:link w:val="Heading2"/>
    <w:uiPriority w:val="9"/>
    <w:rsid w:val="000423AC"/>
    <w:rPr>
      <w:rFonts w:ascii="Arial" w:hAnsi="Arial"/>
      <w:bCs/>
      <w:iCs/>
      <w:szCs w:val="28"/>
    </w:rPr>
  </w:style>
  <w:style w:styleId="CommentReference" w:type="character">
    <w:name w:val="annotation reference"/>
    <w:basedOn w:val="DefaultParagraphFont"/>
    <w:uiPriority w:val="99"/>
    <w:semiHidden/>
    <w:unhideWhenUsed/>
    <w:rsid w:val="004310EC"/>
    <w:rPr>
      <w:sz w:val="16"/>
      <w:szCs w:val="16"/>
    </w:rPr>
  </w:style>
  <w:style w:styleId="TOC4" w:type="paragraph">
    <w:name w:val="toc 4"/>
    <w:basedOn w:val="Normal"/>
    <w:next w:val="Normal"/>
    <w:autoRedefine/>
    <w:uiPriority w:val="39"/>
    <w:semiHidden/>
    <w:unhideWhenUsed/>
    <w:rsid w:val="009979B3"/>
    <w:pPr>
      <w:spacing w:line="360" w:lineRule="auto"/>
      <w:ind w:left="605"/>
    </w:pPr>
  </w:style>
  <w:style w:styleId="CommentText" w:type="paragraph">
    <w:name w:val="annotation text"/>
    <w:basedOn w:val="Normal"/>
    <w:link w:val="CommentTextChar"/>
    <w:uiPriority w:val="99"/>
    <w:semiHidden/>
    <w:unhideWhenUsed/>
    <w:rsid w:val="004310EC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310EC"/>
    <w:rPr>
      <w:rFonts w:ascii="Arial" w:hAnsi="Arial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310EC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310EC"/>
    <w:rPr>
      <w:rFonts w:ascii="Arial" w:hAnsi="Arial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rsid w:val="001518F7"/>
    <w:rPr>
      <w:rFonts w:ascii="Arial" w:hAnsi="Arial"/>
      <w:bCs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791E62"/>
    <w:rPr>
      <w:rFonts w:ascii="Arial" w:hAnsi="Arial"/>
      <w:bCs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A0BB8"/>
    <w:rPr>
      <w:rFonts w:ascii="Calibri" w:cs="Times New Roman" w:eastAsia="SimSun" w:hAnsi="Calibri"/>
      <w:b/>
      <w:bCs/>
      <w:i/>
      <w:iCs/>
      <w:sz w:val="26"/>
      <w:szCs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A0BB8"/>
    <w:rPr>
      <w:rFonts w:ascii="Calibri" w:cs="Times New Roman" w:eastAsia="SimSun" w:hAnsi="Calibri"/>
      <w:b/>
      <w:bCs/>
      <w:sz w:val="22"/>
      <w:szCs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A0BB8"/>
    <w:rPr>
      <w:rFonts w:ascii="Calibri" w:cs="Times New Roman" w:eastAsia="SimSun" w:hAnsi="Calibr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A0BB8"/>
    <w:rPr>
      <w:rFonts w:ascii="Calibri" w:cs="Times New Roman" w:eastAsia="SimSun" w:hAnsi="Calibr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A0BB8"/>
    <w:rPr>
      <w:rFonts w:ascii="Cambria" w:cs="Times New Roman" w:eastAsia="SimSun" w:hAnsi="Cambria"/>
      <w:sz w:val="22"/>
      <w:szCs w:val="22"/>
    </w:rPr>
  </w:style>
  <w:style w:styleId="Title" w:type="paragraph">
    <w:name w:val="Title"/>
    <w:basedOn w:val="Normal"/>
    <w:next w:val="Normal"/>
    <w:link w:val="TitleChar"/>
    <w:uiPriority w:val="10"/>
    <w:qFormat/>
    <w:rsid w:val="00714AB8"/>
    <w:pPr>
      <w:spacing w:after="60" w:before="240"/>
      <w:jc w:val="right"/>
      <w:outlineLvl w:val="0"/>
    </w:pPr>
    <w:rPr>
      <w:rFonts w:cs="Arial"/>
      <w:b/>
      <w:bCs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714AB8"/>
    <w:rPr>
      <w:rFonts w:ascii="Arial" w:cs="Arial" w:eastAsia="SimSun" w:hAnsi="Arial"/>
      <w:b/>
      <w:bCs/>
      <w:kern w:val="28"/>
      <w:sz w:val="32"/>
      <w:szCs w:val="32"/>
    </w:rPr>
  </w:style>
  <w:style w:customStyle="1" w:styleId="Guideline" w:type="paragraph">
    <w:name w:val="Guideline"/>
    <w:basedOn w:val="Normal"/>
    <w:link w:val="GuidelineChar"/>
    <w:qFormat/>
    <w:rsid w:val="00061726"/>
    <w:rPr>
      <w:i/>
      <w:color w:val="548DD4"/>
    </w:rPr>
  </w:style>
  <w:style w:customStyle="1" w:styleId="GuidelineChar" w:type="character">
    <w:name w:val="Guideline Char"/>
    <w:basedOn w:val="DefaultParagraphFont"/>
    <w:link w:val="Guideline"/>
    <w:rsid w:val="00061726"/>
    <w:rPr>
      <w:rFonts w:ascii="Arial" w:hAnsi="Arial"/>
      <w:i/>
      <w:color w:val="548DD4"/>
      <w:szCs w:val="22"/>
    </w:rPr>
  </w:style>
  <w:style w:styleId="ListParagraph" w:type="paragraph">
    <w:name w:val="List Paragraph"/>
    <w:basedOn w:val="Normal"/>
    <w:uiPriority w:val="34"/>
    <w:qFormat/>
    <w:rsid w:val="00045B1D"/>
    <w:pPr>
      <w:ind w:left="720"/>
      <w:contextualSpacing/>
    </w:pPr>
  </w:style>
  <w:style w:customStyle="1" w:styleId="NormalJustify" w:type="paragraph">
    <w:name w:val="Normal (Justify)"/>
    <w:basedOn w:val="Normal"/>
    <w:link w:val="NormalJustifyChar"/>
    <w:qFormat/>
    <w:rsid w:val="008225F8"/>
    <w:pPr>
      <w:jc w:val="both"/>
    </w:pPr>
  </w:style>
  <w:style w:customStyle="1" w:styleId="NormalJustifyChar" w:type="character">
    <w:name w:val="Normal (Justify) Char"/>
    <w:basedOn w:val="DefaultParagraphFont"/>
    <w:link w:val="NormalJustify"/>
    <w:rsid w:val="008225F8"/>
    <w:rPr>
      <w:rFonts w:ascii="Arial" w:hAnsi="Arial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1785</Words>
  <Characters>10180</Characters>
  <Application>Microsoft Office Word</Application>
  <DocSecurity>4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Specification:</dc:title>
  <dc:creator/>
  <dc:language>en-SG</dc:language>
  <cp:keywords/>
  <dcterms:created xsi:type="dcterms:W3CDTF">2025-04-16T05:31:11Z</dcterms:created>
  <dcterms:modified xsi:type="dcterms:W3CDTF">2025-04-16T05:31:11Z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11pt</vt:lpwstr>
  </property>
  <property fmtid="{D5CDD505-2E9C-101B-9397-08002B2CF9AE}" pid="4" name="footer-text">
    <vt:lpwstr>SYNAPXE PTE LTD A wholly owned company of MOH Holdings Pte Ltd Reg No. 200814464H</vt:lpwstr>
  </property>
  <property fmtid="{D5CDD505-2E9C-101B-9397-08002B2CF9AE}" pid="5" name="geometry">
    <vt:lpwstr>top=1in, bottom=1in, left=1in, right=1in</vt:lpwstr>
  </property>
  <property fmtid="{D5CDD505-2E9C-101B-9397-08002B2CF9AE}" pid="6" name="header-text">
    <vt:lpwstr>RESTRICTED, SENSITIVE (NORMAL)</vt:lpwstr>
  </property>
  <property fmtid="{D5CDD505-2E9C-101B-9397-08002B2CF9AE}" pid="7" name="logo-path">
    <vt:lpwstr>synapxelogo.png</vt:lpwstr>
  </property>
  <property fmtid="{D5CDD505-2E9C-101B-9397-08002B2CF9AE}" pid="8" name="subtitle">
    <vt:lpwstr>TRUST Tech Deliverable 4a: Enable user GitLab &amp; Docker images</vt:lpwstr>
  </property>
  <property fmtid="{D5CDD505-2E9C-101B-9397-08002B2CF9AE}" pid="9" name="toc">
    <vt:lpwstr>True</vt:lpwstr>
  </property>
  <property fmtid="{D5CDD505-2E9C-101B-9397-08002B2CF9AE}" pid="10" name="toc-depth">
    <vt:lpwstr>3</vt:lpwstr>
  </property>
</Properties>
</file>