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EC2C" w14:textId="77777777" w:rsidR="002C7A9E" w:rsidRPr="00606F75" w:rsidRDefault="00000000">
      <w:pPr>
        <w:pStyle w:val="Title"/>
        <w:rPr>
          <w:sz w:val="48"/>
          <w:szCs w:val="72"/>
        </w:rPr>
      </w:pPr>
      <w:r w:rsidRPr="00606F75">
        <w:rPr>
          <w:sz w:val="48"/>
          <w:szCs w:val="72"/>
        </w:rPr>
        <w:t>Tata Steel Limited</w:t>
      </w:r>
    </w:p>
    <w:p w14:paraId="07AD3D0A" w14:textId="77777777" w:rsidR="002C7A9E" w:rsidRPr="00606F75" w:rsidRDefault="00000000">
      <w:pPr>
        <w:jc w:val="center"/>
        <w:rPr>
          <w:sz w:val="20"/>
          <w:szCs w:val="28"/>
        </w:rPr>
      </w:pPr>
      <w:r w:rsidRPr="00606F75">
        <w:rPr>
          <w:b/>
          <w:sz w:val="28"/>
          <w:szCs w:val="28"/>
        </w:rPr>
        <w:t>PUBLIC-SOURCE CREDIT UNDERWRITING MEMORANDUM</w:t>
      </w:r>
    </w:p>
    <w:p w14:paraId="1C0B4F13" w14:textId="77777777" w:rsidR="002C7A9E" w:rsidRPr="00606F75" w:rsidRDefault="00000000">
      <w:pPr>
        <w:jc w:val="center"/>
        <w:rPr>
          <w:sz w:val="20"/>
          <w:szCs w:val="28"/>
        </w:rPr>
      </w:pPr>
      <w:r w:rsidRPr="00606F75">
        <w:rPr>
          <w:i/>
          <w:sz w:val="20"/>
          <w:szCs w:val="28"/>
        </w:rPr>
        <w:t>Consolidated | FY2026A baseline | Q1 FY2027 calibration | FY2027E-FY2031E | 26 August 2026</w:t>
      </w:r>
    </w:p>
    <w:tbl>
      <w:tblPr>
        <w:tblStyle w:val="TableGrid"/>
        <w:tblW w:w="0" w:type="auto"/>
        <w:jc w:val="center"/>
        <w:tblLook w:val="04A0" w:firstRow="1" w:lastRow="0" w:firstColumn="1" w:lastColumn="0" w:noHBand="0" w:noVBand="1"/>
      </w:tblPr>
      <w:tblGrid>
        <w:gridCol w:w="2089"/>
        <w:gridCol w:w="2089"/>
        <w:gridCol w:w="2089"/>
        <w:gridCol w:w="2089"/>
        <w:gridCol w:w="2088"/>
      </w:tblGrid>
      <w:tr w:rsidR="002C7A9E" w:rsidRPr="00606F75" w14:paraId="29837C4F" w14:textId="77777777">
        <w:trPr>
          <w:jc w:val="center"/>
        </w:trPr>
        <w:tc>
          <w:tcPr>
            <w:tcW w:w="2091" w:type="dxa"/>
            <w:shd w:val="clear" w:color="auto" w:fill="17365D"/>
            <w:vAlign w:val="center"/>
          </w:tcPr>
          <w:p w14:paraId="78E54658" w14:textId="77777777" w:rsidR="002C7A9E" w:rsidRPr="00606F75" w:rsidRDefault="00000000">
            <w:pPr>
              <w:rPr>
                <w:sz w:val="20"/>
                <w:szCs w:val="28"/>
              </w:rPr>
            </w:pPr>
            <w:r w:rsidRPr="00606F75">
              <w:rPr>
                <w:b/>
                <w:color w:val="FFFFFF"/>
                <w:sz w:val="18"/>
                <w:szCs w:val="28"/>
              </w:rPr>
              <w:t>Recommendation</w:t>
            </w:r>
          </w:p>
        </w:tc>
        <w:tc>
          <w:tcPr>
            <w:tcW w:w="2091" w:type="dxa"/>
            <w:shd w:val="clear" w:color="auto" w:fill="17365D"/>
            <w:vAlign w:val="center"/>
          </w:tcPr>
          <w:p w14:paraId="0EC891E3" w14:textId="77777777" w:rsidR="002C7A9E" w:rsidRPr="00606F75" w:rsidRDefault="00000000">
            <w:pPr>
              <w:rPr>
                <w:sz w:val="20"/>
                <w:szCs w:val="28"/>
              </w:rPr>
            </w:pPr>
            <w:r w:rsidRPr="00606F75">
              <w:rPr>
                <w:b/>
                <w:color w:val="FFFFFF"/>
                <w:sz w:val="18"/>
                <w:szCs w:val="28"/>
              </w:rPr>
              <w:t>Posture</w:t>
            </w:r>
          </w:p>
        </w:tc>
        <w:tc>
          <w:tcPr>
            <w:tcW w:w="2091" w:type="dxa"/>
            <w:shd w:val="clear" w:color="auto" w:fill="17365D"/>
            <w:vAlign w:val="center"/>
          </w:tcPr>
          <w:p w14:paraId="3F9164F1" w14:textId="77777777" w:rsidR="002C7A9E" w:rsidRPr="00606F75" w:rsidRDefault="00000000">
            <w:pPr>
              <w:rPr>
                <w:sz w:val="20"/>
                <w:szCs w:val="28"/>
              </w:rPr>
            </w:pPr>
            <w:r w:rsidRPr="00606F75">
              <w:rPr>
                <w:b/>
                <w:color w:val="FFFFFF"/>
                <w:sz w:val="18"/>
                <w:szCs w:val="28"/>
              </w:rPr>
              <w:t>FY27E Net Leverage</w:t>
            </w:r>
          </w:p>
        </w:tc>
        <w:tc>
          <w:tcPr>
            <w:tcW w:w="2091" w:type="dxa"/>
            <w:shd w:val="clear" w:color="auto" w:fill="17365D"/>
            <w:vAlign w:val="center"/>
          </w:tcPr>
          <w:p w14:paraId="47DA4339" w14:textId="77777777" w:rsidR="002C7A9E" w:rsidRPr="00606F75" w:rsidRDefault="00000000">
            <w:pPr>
              <w:rPr>
                <w:sz w:val="20"/>
                <w:szCs w:val="28"/>
              </w:rPr>
            </w:pPr>
            <w:r w:rsidRPr="00606F75">
              <w:rPr>
                <w:b/>
                <w:color w:val="FFFFFF"/>
                <w:sz w:val="18"/>
                <w:szCs w:val="28"/>
              </w:rPr>
              <w:t>Bear Net Leverage</w:t>
            </w:r>
          </w:p>
        </w:tc>
        <w:tc>
          <w:tcPr>
            <w:tcW w:w="2091" w:type="dxa"/>
            <w:shd w:val="clear" w:color="auto" w:fill="17365D"/>
            <w:vAlign w:val="center"/>
          </w:tcPr>
          <w:p w14:paraId="1B51BB19" w14:textId="77777777" w:rsidR="002C7A9E" w:rsidRPr="00606F75" w:rsidRDefault="00000000">
            <w:pPr>
              <w:rPr>
                <w:sz w:val="20"/>
                <w:szCs w:val="28"/>
              </w:rPr>
            </w:pPr>
            <w:r w:rsidRPr="00606F75">
              <w:rPr>
                <w:b/>
                <w:color w:val="FFFFFF"/>
                <w:sz w:val="18"/>
                <w:szCs w:val="28"/>
              </w:rPr>
              <w:t>Base / Bear DSCR</w:t>
            </w:r>
          </w:p>
        </w:tc>
      </w:tr>
      <w:tr w:rsidR="002C7A9E" w:rsidRPr="00606F75" w14:paraId="4026C4BA" w14:textId="77777777">
        <w:trPr>
          <w:jc w:val="center"/>
        </w:trPr>
        <w:tc>
          <w:tcPr>
            <w:tcW w:w="2091" w:type="dxa"/>
            <w:vAlign w:val="center"/>
          </w:tcPr>
          <w:p w14:paraId="3444AE74" w14:textId="77777777" w:rsidR="002C7A9E" w:rsidRPr="00606F75" w:rsidRDefault="00000000">
            <w:pPr>
              <w:rPr>
                <w:sz w:val="20"/>
                <w:szCs w:val="28"/>
              </w:rPr>
            </w:pPr>
            <w:r w:rsidRPr="00606F75">
              <w:rPr>
                <w:sz w:val="18"/>
                <w:szCs w:val="28"/>
              </w:rPr>
              <w:t>Conditional Approval / Proceed to Diligence</w:t>
            </w:r>
          </w:p>
        </w:tc>
        <w:tc>
          <w:tcPr>
            <w:tcW w:w="2091" w:type="dxa"/>
            <w:vAlign w:val="center"/>
          </w:tcPr>
          <w:p w14:paraId="49E5641E" w14:textId="77777777" w:rsidR="002C7A9E" w:rsidRPr="00606F75" w:rsidRDefault="00000000">
            <w:pPr>
              <w:rPr>
                <w:sz w:val="20"/>
                <w:szCs w:val="28"/>
              </w:rPr>
            </w:pPr>
            <w:r w:rsidRPr="00606F75">
              <w:rPr>
                <w:sz w:val="18"/>
                <w:szCs w:val="28"/>
              </w:rPr>
              <w:t>Screening-only</w:t>
            </w:r>
          </w:p>
        </w:tc>
        <w:tc>
          <w:tcPr>
            <w:tcW w:w="2091" w:type="dxa"/>
            <w:vAlign w:val="center"/>
          </w:tcPr>
          <w:p w14:paraId="003EB3C9" w14:textId="77777777" w:rsidR="002C7A9E" w:rsidRPr="00606F75" w:rsidRDefault="00000000">
            <w:pPr>
              <w:rPr>
                <w:sz w:val="20"/>
                <w:szCs w:val="28"/>
              </w:rPr>
            </w:pPr>
            <w:r w:rsidRPr="00606F75">
              <w:rPr>
                <w:sz w:val="18"/>
                <w:szCs w:val="28"/>
              </w:rPr>
              <w:t>1.94x</w:t>
            </w:r>
          </w:p>
        </w:tc>
        <w:tc>
          <w:tcPr>
            <w:tcW w:w="2091" w:type="dxa"/>
            <w:vAlign w:val="center"/>
          </w:tcPr>
          <w:p w14:paraId="0083D42E" w14:textId="77777777" w:rsidR="002C7A9E" w:rsidRPr="00606F75" w:rsidRDefault="00000000">
            <w:pPr>
              <w:rPr>
                <w:sz w:val="20"/>
                <w:szCs w:val="28"/>
              </w:rPr>
            </w:pPr>
            <w:r w:rsidRPr="00606F75">
              <w:rPr>
                <w:sz w:val="18"/>
                <w:szCs w:val="28"/>
              </w:rPr>
              <w:t>3.69x</w:t>
            </w:r>
          </w:p>
        </w:tc>
        <w:tc>
          <w:tcPr>
            <w:tcW w:w="2091" w:type="dxa"/>
            <w:vAlign w:val="center"/>
          </w:tcPr>
          <w:p w14:paraId="5C6F97FE" w14:textId="77777777" w:rsidR="002C7A9E" w:rsidRPr="00606F75" w:rsidRDefault="00000000">
            <w:pPr>
              <w:rPr>
                <w:sz w:val="20"/>
                <w:szCs w:val="28"/>
              </w:rPr>
            </w:pPr>
            <w:r w:rsidRPr="00606F75">
              <w:rPr>
                <w:sz w:val="18"/>
                <w:szCs w:val="28"/>
              </w:rPr>
              <w:t>1.75x / 0.77x</w:t>
            </w:r>
          </w:p>
        </w:tc>
      </w:tr>
    </w:tbl>
    <w:p w14:paraId="2A55DD60" w14:textId="77777777" w:rsidR="002C7A9E" w:rsidRPr="00606F75" w:rsidRDefault="00000000">
      <w:pPr>
        <w:pStyle w:val="Heading1"/>
        <w:rPr>
          <w:sz w:val="32"/>
          <w:szCs w:val="36"/>
        </w:rPr>
      </w:pPr>
      <w:r w:rsidRPr="00606F75">
        <w:rPr>
          <w:sz w:val="32"/>
          <w:szCs w:val="36"/>
        </w:rPr>
        <w:t>1. Executive Credit View</w:t>
      </w:r>
    </w:p>
    <w:p w14:paraId="3B1A827E" w14:textId="77777777" w:rsidR="002C7A9E" w:rsidRPr="00606F75" w:rsidRDefault="00000000">
      <w:pPr>
        <w:spacing w:after="60" w:line="245" w:lineRule="auto"/>
        <w:rPr>
          <w:sz w:val="20"/>
          <w:szCs w:val="28"/>
        </w:rPr>
      </w:pPr>
      <w:r w:rsidRPr="00606F75">
        <w:rPr>
          <w:sz w:val="20"/>
          <w:szCs w:val="28"/>
        </w:rPr>
        <w:t>Recommendation: Conditional Approval / proceed to diligence only. Tata Steel's core operating franchise and liquidity support a constructive credit view, but the FY2027-FY2029 investment cycle creates a meaningful distinction between recurring debt-service capacity and total cash funding requirements.</w:t>
      </w:r>
    </w:p>
    <w:p w14:paraId="030CF4B8" w14:textId="77777777" w:rsidR="002C7A9E" w:rsidRPr="00606F75" w:rsidRDefault="00000000">
      <w:pPr>
        <w:spacing w:after="60" w:line="245" w:lineRule="auto"/>
        <w:rPr>
          <w:sz w:val="20"/>
          <w:szCs w:val="28"/>
        </w:rPr>
      </w:pPr>
      <w:r w:rsidRPr="00606F75">
        <w:rPr>
          <w:sz w:val="20"/>
          <w:szCs w:val="28"/>
        </w:rPr>
        <w:t>The model estimates FY2027 EBITDA of approximately Rs 38,172 crore and maintenance-basis DSCR of 1.75x. However, after total growth and transition capex, FY2027 full-capex DSCR is only ~0.87x. This does not indicate operating insolvency; it indicates that expansion capex cannot be assumed to be funded entirely from annual free cash flow and will require retained cash, committed liquidity, project financing, capex phasing, or a combination thereof.</w:t>
      </w:r>
    </w:p>
    <w:p w14:paraId="2314DB43" w14:textId="77777777" w:rsidR="002C7A9E" w:rsidRPr="00606F75" w:rsidRDefault="00000000">
      <w:pPr>
        <w:spacing w:after="60" w:line="245" w:lineRule="auto"/>
        <w:rPr>
          <w:sz w:val="20"/>
          <w:szCs w:val="28"/>
        </w:rPr>
      </w:pPr>
      <w:r w:rsidRPr="00606F75">
        <w:rPr>
          <w:sz w:val="20"/>
          <w:szCs w:val="28"/>
        </w:rPr>
        <w:t>Q1 FY2027 provides a useful calibration point. Tata Steel reported consolidated EBITDA of Rs 9,370 crore, deliveries of 7.27 MT, net debt of Rs 84,173 crore and group liquidity of Rs 45,950 crore. Management also described net leverage of 2.3x as below its stated 2.5-3.0x through-cycle range.</w:t>
      </w:r>
    </w:p>
    <w:p w14:paraId="722C5774" w14:textId="77777777" w:rsidR="002C7A9E" w:rsidRPr="00606F75" w:rsidRDefault="00000000">
      <w:pPr>
        <w:pStyle w:val="Heading2"/>
        <w:rPr>
          <w:sz w:val="24"/>
          <w:szCs w:val="32"/>
        </w:rPr>
      </w:pPr>
      <w:r w:rsidRPr="00606F75">
        <w:rPr>
          <w:sz w:val="24"/>
          <w:szCs w:val="32"/>
        </w:rPr>
        <w:t>Underwriting Perimeter</w:t>
      </w:r>
    </w:p>
    <w:tbl>
      <w:tblPr>
        <w:tblStyle w:val="TableGrid"/>
        <w:tblW w:w="0" w:type="auto"/>
        <w:jc w:val="center"/>
        <w:tblLook w:val="04A0" w:firstRow="1" w:lastRow="0" w:firstColumn="1" w:lastColumn="0" w:noHBand="0" w:noVBand="1"/>
      </w:tblPr>
      <w:tblGrid>
        <w:gridCol w:w="5222"/>
        <w:gridCol w:w="5222"/>
      </w:tblGrid>
      <w:tr w:rsidR="002C7A9E" w:rsidRPr="00606F75" w14:paraId="5C195CC7" w14:textId="77777777">
        <w:trPr>
          <w:jc w:val="center"/>
        </w:trPr>
        <w:tc>
          <w:tcPr>
            <w:tcW w:w="5227" w:type="dxa"/>
            <w:shd w:val="clear" w:color="auto" w:fill="17365D"/>
            <w:vAlign w:val="center"/>
          </w:tcPr>
          <w:p w14:paraId="2A24043D" w14:textId="77777777" w:rsidR="002C7A9E" w:rsidRPr="00606F75" w:rsidRDefault="00000000">
            <w:pPr>
              <w:rPr>
                <w:sz w:val="20"/>
                <w:szCs w:val="28"/>
              </w:rPr>
            </w:pPr>
            <w:r w:rsidRPr="00606F75">
              <w:rPr>
                <w:b/>
                <w:color w:val="FFFFFF"/>
                <w:sz w:val="18"/>
                <w:szCs w:val="28"/>
              </w:rPr>
              <w:t>Item</w:t>
            </w:r>
          </w:p>
        </w:tc>
        <w:tc>
          <w:tcPr>
            <w:tcW w:w="5227" w:type="dxa"/>
            <w:shd w:val="clear" w:color="auto" w:fill="17365D"/>
            <w:vAlign w:val="center"/>
          </w:tcPr>
          <w:p w14:paraId="42C35ED1" w14:textId="77777777" w:rsidR="002C7A9E" w:rsidRPr="00606F75" w:rsidRDefault="00000000">
            <w:pPr>
              <w:rPr>
                <w:sz w:val="20"/>
                <w:szCs w:val="28"/>
              </w:rPr>
            </w:pPr>
            <w:r w:rsidRPr="00606F75">
              <w:rPr>
                <w:b/>
                <w:color w:val="FFFFFF"/>
                <w:sz w:val="18"/>
                <w:szCs w:val="28"/>
              </w:rPr>
              <w:t>Current Underwriting Treatment</w:t>
            </w:r>
          </w:p>
        </w:tc>
      </w:tr>
      <w:tr w:rsidR="002C7A9E" w:rsidRPr="00606F75" w14:paraId="63EB023C" w14:textId="77777777">
        <w:trPr>
          <w:jc w:val="center"/>
        </w:trPr>
        <w:tc>
          <w:tcPr>
            <w:tcW w:w="5227" w:type="dxa"/>
            <w:vAlign w:val="center"/>
          </w:tcPr>
          <w:p w14:paraId="54092ADD" w14:textId="77777777" w:rsidR="002C7A9E" w:rsidRPr="00606F75" w:rsidRDefault="00000000">
            <w:pPr>
              <w:rPr>
                <w:sz w:val="20"/>
                <w:szCs w:val="28"/>
              </w:rPr>
            </w:pPr>
            <w:r w:rsidRPr="00606F75">
              <w:rPr>
                <w:sz w:val="18"/>
                <w:szCs w:val="28"/>
              </w:rPr>
              <w:t>Borrower</w:t>
            </w:r>
          </w:p>
        </w:tc>
        <w:tc>
          <w:tcPr>
            <w:tcW w:w="5227" w:type="dxa"/>
            <w:vAlign w:val="center"/>
          </w:tcPr>
          <w:p w14:paraId="7EBE41B0" w14:textId="77777777" w:rsidR="002C7A9E" w:rsidRPr="00606F75" w:rsidRDefault="00000000">
            <w:pPr>
              <w:rPr>
                <w:sz w:val="20"/>
                <w:szCs w:val="28"/>
              </w:rPr>
            </w:pPr>
            <w:r w:rsidRPr="00606F75">
              <w:rPr>
                <w:sz w:val="18"/>
                <w:szCs w:val="28"/>
              </w:rPr>
              <w:t>Tata Steel Limited - consolidated public-source screen</w:t>
            </w:r>
          </w:p>
        </w:tc>
      </w:tr>
      <w:tr w:rsidR="002C7A9E" w:rsidRPr="00606F75" w14:paraId="02C004FC" w14:textId="77777777">
        <w:trPr>
          <w:jc w:val="center"/>
        </w:trPr>
        <w:tc>
          <w:tcPr>
            <w:tcW w:w="5227" w:type="dxa"/>
            <w:vAlign w:val="center"/>
          </w:tcPr>
          <w:p w14:paraId="49C19708" w14:textId="77777777" w:rsidR="002C7A9E" w:rsidRPr="00606F75" w:rsidRDefault="00000000">
            <w:pPr>
              <w:rPr>
                <w:sz w:val="20"/>
                <w:szCs w:val="28"/>
              </w:rPr>
            </w:pPr>
            <w:r w:rsidRPr="00606F75">
              <w:rPr>
                <w:sz w:val="18"/>
                <w:szCs w:val="28"/>
              </w:rPr>
              <w:t>Purpose</w:t>
            </w:r>
          </w:p>
        </w:tc>
        <w:tc>
          <w:tcPr>
            <w:tcW w:w="5227" w:type="dxa"/>
            <w:vAlign w:val="center"/>
          </w:tcPr>
          <w:p w14:paraId="22CBE294" w14:textId="77777777" w:rsidR="002C7A9E" w:rsidRPr="00606F75" w:rsidRDefault="00000000">
            <w:pPr>
              <w:rPr>
                <w:sz w:val="20"/>
                <w:szCs w:val="28"/>
              </w:rPr>
            </w:pPr>
            <w:r w:rsidRPr="00606F75">
              <w:rPr>
                <w:sz w:val="18"/>
                <w:szCs w:val="28"/>
              </w:rPr>
              <w:t>Illustrative corporate credit / refinancing capacity analysis; no specific facility terms provided</w:t>
            </w:r>
          </w:p>
        </w:tc>
      </w:tr>
      <w:tr w:rsidR="002C7A9E" w:rsidRPr="00606F75" w14:paraId="0910652D" w14:textId="77777777">
        <w:trPr>
          <w:jc w:val="center"/>
        </w:trPr>
        <w:tc>
          <w:tcPr>
            <w:tcW w:w="5227" w:type="dxa"/>
            <w:vAlign w:val="center"/>
          </w:tcPr>
          <w:p w14:paraId="1B8BFA63" w14:textId="77777777" w:rsidR="002C7A9E" w:rsidRPr="00606F75" w:rsidRDefault="00000000">
            <w:pPr>
              <w:rPr>
                <w:sz w:val="20"/>
                <w:szCs w:val="28"/>
              </w:rPr>
            </w:pPr>
            <w:r w:rsidRPr="00606F75">
              <w:rPr>
                <w:sz w:val="18"/>
                <w:szCs w:val="28"/>
              </w:rPr>
              <w:t>Historical anchor</w:t>
            </w:r>
          </w:p>
        </w:tc>
        <w:tc>
          <w:tcPr>
            <w:tcW w:w="5227" w:type="dxa"/>
            <w:vAlign w:val="center"/>
          </w:tcPr>
          <w:p w14:paraId="64115C57" w14:textId="77777777" w:rsidR="002C7A9E" w:rsidRPr="00606F75" w:rsidRDefault="00000000">
            <w:pPr>
              <w:rPr>
                <w:sz w:val="20"/>
                <w:szCs w:val="28"/>
              </w:rPr>
            </w:pPr>
            <w:r w:rsidRPr="00606F75">
              <w:rPr>
                <w:sz w:val="18"/>
                <w:szCs w:val="28"/>
              </w:rPr>
              <w:t>FY2026 audited; Q1 FY2027 used as calibration</w:t>
            </w:r>
          </w:p>
        </w:tc>
      </w:tr>
      <w:tr w:rsidR="002C7A9E" w:rsidRPr="00606F75" w14:paraId="50F8B3A1" w14:textId="77777777">
        <w:trPr>
          <w:jc w:val="center"/>
        </w:trPr>
        <w:tc>
          <w:tcPr>
            <w:tcW w:w="5227" w:type="dxa"/>
            <w:vAlign w:val="center"/>
          </w:tcPr>
          <w:p w14:paraId="55063495" w14:textId="77777777" w:rsidR="002C7A9E" w:rsidRPr="00606F75" w:rsidRDefault="00000000">
            <w:pPr>
              <w:rPr>
                <w:sz w:val="20"/>
                <w:szCs w:val="28"/>
              </w:rPr>
            </w:pPr>
            <w:r w:rsidRPr="00606F75">
              <w:rPr>
                <w:sz w:val="18"/>
                <w:szCs w:val="28"/>
              </w:rPr>
              <w:t>Forecast horizon</w:t>
            </w:r>
          </w:p>
        </w:tc>
        <w:tc>
          <w:tcPr>
            <w:tcW w:w="5227" w:type="dxa"/>
            <w:vAlign w:val="center"/>
          </w:tcPr>
          <w:p w14:paraId="6A1C0BAC" w14:textId="77777777" w:rsidR="002C7A9E" w:rsidRPr="00606F75" w:rsidRDefault="00000000">
            <w:pPr>
              <w:rPr>
                <w:sz w:val="20"/>
                <w:szCs w:val="28"/>
              </w:rPr>
            </w:pPr>
            <w:r w:rsidRPr="00606F75">
              <w:rPr>
                <w:sz w:val="18"/>
                <w:szCs w:val="28"/>
              </w:rPr>
              <w:t>FY2027E-FY2031E</w:t>
            </w:r>
          </w:p>
        </w:tc>
      </w:tr>
      <w:tr w:rsidR="002C7A9E" w:rsidRPr="00606F75" w14:paraId="5AB3172B" w14:textId="77777777">
        <w:trPr>
          <w:jc w:val="center"/>
        </w:trPr>
        <w:tc>
          <w:tcPr>
            <w:tcW w:w="5227" w:type="dxa"/>
            <w:vAlign w:val="center"/>
          </w:tcPr>
          <w:p w14:paraId="701001C6" w14:textId="77777777" w:rsidR="002C7A9E" w:rsidRPr="00606F75" w:rsidRDefault="00000000">
            <w:pPr>
              <w:rPr>
                <w:sz w:val="20"/>
                <w:szCs w:val="28"/>
              </w:rPr>
            </w:pPr>
            <w:r w:rsidRPr="00606F75">
              <w:rPr>
                <w:sz w:val="18"/>
                <w:szCs w:val="28"/>
              </w:rPr>
              <w:t>Currency / units</w:t>
            </w:r>
          </w:p>
        </w:tc>
        <w:tc>
          <w:tcPr>
            <w:tcW w:w="5227" w:type="dxa"/>
            <w:vAlign w:val="center"/>
          </w:tcPr>
          <w:p w14:paraId="3121046A" w14:textId="77777777" w:rsidR="002C7A9E" w:rsidRPr="00606F75" w:rsidRDefault="00000000">
            <w:pPr>
              <w:rPr>
                <w:sz w:val="20"/>
                <w:szCs w:val="28"/>
              </w:rPr>
            </w:pPr>
            <w:r w:rsidRPr="00606F75">
              <w:rPr>
                <w:sz w:val="18"/>
                <w:szCs w:val="28"/>
              </w:rPr>
              <w:t>INR; Rs crore unless stated</w:t>
            </w:r>
          </w:p>
        </w:tc>
      </w:tr>
      <w:tr w:rsidR="002C7A9E" w:rsidRPr="00606F75" w14:paraId="4AA47135" w14:textId="77777777">
        <w:trPr>
          <w:jc w:val="center"/>
        </w:trPr>
        <w:tc>
          <w:tcPr>
            <w:tcW w:w="5227" w:type="dxa"/>
            <w:vAlign w:val="center"/>
          </w:tcPr>
          <w:p w14:paraId="238CC376" w14:textId="77777777" w:rsidR="002C7A9E" w:rsidRPr="00606F75" w:rsidRDefault="00000000">
            <w:pPr>
              <w:rPr>
                <w:sz w:val="20"/>
                <w:szCs w:val="28"/>
              </w:rPr>
            </w:pPr>
            <w:r w:rsidRPr="00606F75">
              <w:rPr>
                <w:sz w:val="18"/>
                <w:szCs w:val="28"/>
              </w:rPr>
              <w:t>Decision standard</w:t>
            </w:r>
          </w:p>
        </w:tc>
        <w:tc>
          <w:tcPr>
            <w:tcW w:w="5227" w:type="dxa"/>
            <w:vAlign w:val="center"/>
          </w:tcPr>
          <w:p w14:paraId="6A333C7D" w14:textId="77777777" w:rsidR="002C7A9E" w:rsidRPr="00606F75" w:rsidRDefault="00000000">
            <w:pPr>
              <w:rPr>
                <w:sz w:val="20"/>
                <w:szCs w:val="28"/>
              </w:rPr>
            </w:pPr>
            <w:r w:rsidRPr="00606F75">
              <w:rPr>
                <w:sz w:val="18"/>
                <w:szCs w:val="28"/>
              </w:rPr>
              <w:t>Public-source screening; not final credit-committee approval</w:t>
            </w:r>
          </w:p>
        </w:tc>
      </w:tr>
    </w:tbl>
    <w:p w14:paraId="2197EA61" w14:textId="77777777" w:rsidR="002C7A9E" w:rsidRPr="00606F75" w:rsidRDefault="00000000">
      <w:pPr>
        <w:pStyle w:val="Heading2"/>
        <w:rPr>
          <w:sz w:val="24"/>
          <w:szCs w:val="32"/>
        </w:rPr>
      </w:pPr>
      <w:r w:rsidRPr="00606F75">
        <w:rPr>
          <w:sz w:val="24"/>
          <w:szCs w:val="32"/>
        </w:rPr>
        <w:t>Principal Credit Strengths</w:t>
      </w:r>
    </w:p>
    <w:p w14:paraId="5C0742D5" w14:textId="77777777" w:rsidR="002C7A9E" w:rsidRPr="00606F75" w:rsidRDefault="00000000">
      <w:pPr>
        <w:pStyle w:val="ListBullet"/>
        <w:spacing w:after="30" w:line="240" w:lineRule="auto"/>
        <w:rPr>
          <w:sz w:val="20"/>
          <w:szCs w:val="28"/>
        </w:rPr>
      </w:pPr>
      <w:r w:rsidRPr="00606F75">
        <w:rPr>
          <w:sz w:val="20"/>
          <w:szCs w:val="28"/>
        </w:rPr>
        <w:t>Large, diversified and integrated steel platform with significant Indian operating scale and European asset exposure.</w:t>
      </w:r>
    </w:p>
    <w:p w14:paraId="1D9BDD0B" w14:textId="77777777" w:rsidR="002C7A9E" w:rsidRPr="00606F75" w:rsidRDefault="00000000">
      <w:pPr>
        <w:pStyle w:val="ListBullet"/>
        <w:spacing w:after="30" w:line="240" w:lineRule="auto"/>
        <w:rPr>
          <w:sz w:val="20"/>
          <w:szCs w:val="28"/>
        </w:rPr>
      </w:pPr>
      <w:r w:rsidRPr="00606F75">
        <w:rPr>
          <w:sz w:val="20"/>
          <w:szCs w:val="28"/>
        </w:rPr>
        <w:t>Strong Indian raw-material position: captive iron ore substantially reduces exposure to seaborne iron-ore volatility.</w:t>
      </w:r>
    </w:p>
    <w:p w14:paraId="7F7BA58A" w14:textId="77777777" w:rsidR="002C7A9E" w:rsidRPr="00606F75" w:rsidRDefault="00000000">
      <w:pPr>
        <w:pStyle w:val="ListBullet"/>
        <w:spacing w:after="30" w:line="240" w:lineRule="auto"/>
        <w:rPr>
          <w:sz w:val="20"/>
          <w:szCs w:val="28"/>
        </w:rPr>
      </w:pPr>
      <w:r w:rsidRPr="00606F75">
        <w:rPr>
          <w:sz w:val="20"/>
          <w:szCs w:val="28"/>
        </w:rPr>
        <w:t>FY2026 earnings recovery and cost transformation provide a stronger base entering the new capex cycle.</w:t>
      </w:r>
    </w:p>
    <w:p w14:paraId="458AA854" w14:textId="77777777" w:rsidR="002C7A9E" w:rsidRPr="00606F75" w:rsidRDefault="00000000">
      <w:pPr>
        <w:pStyle w:val="ListBullet"/>
        <w:spacing w:after="30" w:line="240" w:lineRule="auto"/>
        <w:rPr>
          <w:sz w:val="20"/>
          <w:szCs w:val="28"/>
        </w:rPr>
      </w:pPr>
      <w:r w:rsidRPr="00606F75">
        <w:rPr>
          <w:sz w:val="20"/>
          <w:szCs w:val="28"/>
        </w:rPr>
        <w:t>Q1 FY2027 group liquidity of Rs 45,950 crore creates a meaningful buffer against project and working-capital volatility.</w:t>
      </w:r>
    </w:p>
    <w:p w14:paraId="73686878" w14:textId="77777777" w:rsidR="002C7A9E" w:rsidRPr="00606F75" w:rsidRDefault="00000000">
      <w:pPr>
        <w:pStyle w:val="ListBullet"/>
        <w:spacing w:after="30" w:line="240" w:lineRule="auto"/>
        <w:rPr>
          <w:sz w:val="20"/>
          <w:szCs w:val="28"/>
        </w:rPr>
      </w:pPr>
      <w:r w:rsidRPr="00606F75">
        <w:rPr>
          <w:sz w:val="20"/>
          <w:szCs w:val="28"/>
        </w:rPr>
        <w:t>Structural Indian demand remains supportive, with worldsteel forecasting Indian steel demand growth of 7.4% in 2026 and 9.2% in 2027.</w:t>
      </w:r>
    </w:p>
    <w:p w14:paraId="077CA827" w14:textId="77777777" w:rsidR="002C7A9E" w:rsidRPr="00606F75" w:rsidRDefault="00000000">
      <w:pPr>
        <w:pStyle w:val="Heading2"/>
        <w:rPr>
          <w:sz w:val="24"/>
          <w:szCs w:val="32"/>
        </w:rPr>
      </w:pPr>
      <w:r w:rsidRPr="00606F75">
        <w:rPr>
          <w:sz w:val="24"/>
          <w:szCs w:val="32"/>
        </w:rPr>
        <w:t>Principal Credit Risks</w:t>
      </w:r>
    </w:p>
    <w:p w14:paraId="544B8AA7" w14:textId="77777777" w:rsidR="002C7A9E" w:rsidRPr="00606F75" w:rsidRDefault="00000000">
      <w:pPr>
        <w:pStyle w:val="ListBullet"/>
        <w:spacing w:after="30" w:line="240" w:lineRule="auto"/>
        <w:rPr>
          <w:sz w:val="20"/>
          <w:szCs w:val="28"/>
        </w:rPr>
      </w:pPr>
      <w:r w:rsidRPr="00606F75">
        <w:rPr>
          <w:sz w:val="20"/>
          <w:szCs w:val="28"/>
        </w:rPr>
        <w:t>Steel spreads remain highly cyclical and can compress rapidly during global demand weakness or import pressure.</w:t>
      </w:r>
    </w:p>
    <w:p w14:paraId="71130221" w14:textId="77777777" w:rsidR="002C7A9E" w:rsidRPr="00606F75" w:rsidRDefault="00000000">
      <w:pPr>
        <w:pStyle w:val="ListBullet"/>
        <w:spacing w:after="30" w:line="240" w:lineRule="auto"/>
        <w:rPr>
          <w:sz w:val="20"/>
          <w:szCs w:val="28"/>
        </w:rPr>
      </w:pPr>
      <w:r w:rsidRPr="00606F75">
        <w:rPr>
          <w:sz w:val="20"/>
          <w:szCs w:val="28"/>
        </w:rPr>
        <w:t>Heavy capital requirements: FY2027 capex guidance is approximately Rs 20,000 crore, while the approved NINL 4.8 MTPA expansion is estimated at Rs 33,873 crore.</w:t>
      </w:r>
    </w:p>
    <w:p w14:paraId="0145A78D" w14:textId="77777777" w:rsidR="002C7A9E" w:rsidRPr="00606F75" w:rsidRDefault="00000000">
      <w:pPr>
        <w:pStyle w:val="ListBullet"/>
        <w:spacing w:after="30" w:line="240" w:lineRule="auto"/>
        <w:rPr>
          <w:sz w:val="20"/>
          <w:szCs w:val="28"/>
        </w:rPr>
      </w:pPr>
      <w:r w:rsidRPr="00606F75">
        <w:rPr>
          <w:sz w:val="20"/>
          <w:szCs w:val="28"/>
        </w:rPr>
        <w:t>European transition creates execution, funding, policy-support and cost-overrun risk.</w:t>
      </w:r>
    </w:p>
    <w:p w14:paraId="68396D90" w14:textId="77777777" w:rsidR="002C7A9E" w:rsidRPr="00606F75" w:rsidRDefault="00000000">
      <w:pPr>
        <w:pStyle w:val="ListBullet"/>
        <w:spacing w:after="30" w:line="240" w:lineRule="auto"/>
        <w:rPr>
          <w:sz w:val="20"/>
          <w:szCs w:val="28"/>
        </w:rPr>
      </w:pPr>
      <w:r w:rsidRPr="00606F75">
        <w:rPr>
          <w:sz w:val="20"/>
          <w:szCs w:val="28"/>
        </w:rPr>
        <w:t>Coking coal and energy remain material input exposures despite captive iron ore advantages.</w:t>
      </w:r>
    </w:p>
    <w:p w14:paraId="7E2D26FE" w14:textId="77777777" w:rsidR="002C7A9E" w:rsidRPr="00606F75" w:rsidRDefault="00000000">
      <w:pPr>
        <w:pStyle w:val="ListBullet"/>
        <w:spacing w:after="30" w:line="240" w:lineRule="auto"/>
        <w:rPr>
          <w:sz w:val="20"/>
          <w:szCs w:val="28"/>
        </w:rPr>
      </w:pPr>
      <w:r w:rsidRPr="00606F75">
        <w:rPr>
          <w:sz w:val="20"/>
          <w:szCs w:val="28"/>
        </w:rPr>
        <w:t>In the severe recession case, Net Debt / EBITDA rises to ~3.69x and DSCR falls to ~0.77x, breaching the recommended lender thresholds.</w:t>
      </w:r>
    </w:p>
    <w:p w14:paraId="253DE958" w14:textId="77777777" w:rsidR="002C7A9E" w:rsidRPr="00606F75" w:rsidRDefault="00000000">
      <w:pPr>
        <w:rPr>
          <w:sz w:val="20"/>
          <w:szCs w:val="28"/>
        </w:rPr>
      </w:pPr>
      <w:r w:rsidRPr="00606F75">
        <w:rPr>
          <w:sz w:val="20"/>
          <w:szCs w:val="28"/>
        </w:rPr>
        <w:br w:type="page"/>
      </w:r>
    </w:p>
    <w:p w14:paraId="532D8D3D" w14:textId="77777777" w:rsidR="002C7A9E" w:rsidRPr="00606F75" w:rsidRDefault="00000000">
      <w:pPr>
        <w:pStyle w:val="Heading1"/>
        <w:rPr>
          <w:sz w:val="32"/>
          <w:szCs w:val="36"/>
        </w:rPr>
      </w:pPr>
      <w:r w:rsidRPr="00606F75">
        <w:rPr>
          <w:sz w:val="32"/>
          <w:szCs w:val="36"/>
        </w:rPr>
        <w:lastRenderedPageBreak/>
        <w:t>2. Business Model, Operating Drivers &amp; Forecast</w:t>
      </w:r>
    </w:p>
    <w:p w14:paraId="159046D0" w14:textId="77777777" w:rsidR="002C7A9E" w:rsidRPr="00606F75" w:rsidRDefault="00000000">
      <w:pPr>
        <w:spacing w:after="60" w:line="245" w:lineRule="auto"/>
        <w:rPr>
          <w:sz w:val="20"/>
          <w:szCs w:val="28"/>
        </w:rPr>
      </w:pPr>
      <w:r w:rsidRPr="00606F75">
        <w:rPr>
          <w:sz w:val="20"/>
          <w:szCs w:val="28"/>
        </w:rPr>
        <w:t>The credit thesis is anchored in the quality of Tata Steel's Indian franchise and tested against the cyclicality of the consolidated group. The model therefore forecasts volumes and realizations separately rather than applying a simple revenue-growth percentage.</w:t>
      </w:r>
    </w:p>
    <w:p w14:paraId="5AF95162" w14:textId="77777777" w:rsidR="002C7A9E" w:rsidRPr="00606F75" w:rsidRDefault="00000000">
      <w:pPr>
        <w:pStyle w:val="Heading2"/>
        <w:rPr>
          <w:sz w:val="24"/>
          <w:szCs w:val="32"/>
        </w:rPr>
      </w:pPr>
      <w:r w:rsidRPr="00606F75">
        <w:rPr>
          <w:sz w:val="24"/>
          <w:szCs w:val="32"/>
        </w:rPr>
        <w:t>Base-Case Operating Framework</w:t>
      </w:r>
    </w:p>
    <w:tbl>
      <w:tblPr>
        <w:tblStyle w:val="TableGrid"/>
        <w:tblW w:w="0" w:type="auto"/>
        <w:jc w:val="center"/>
        <w:tblLook w:val="04A0" w:firstRow="1" w:lastRow="0" w:firstColumn="1" w:lastColumn="0" w:noHBand="0" w:noVBand="1"/>
      </w:tblPr>
      <w:tblGrid>
        <w:gridCol w:w="1740"/>
        <w:gridCol w:w="1740"/>
        <w:gridCol w:w="1741"/>
        <w:gridCol w:w="1741"/>
        <w:gridCol w:w="1741"/>
        <w:gridCol w:w="1741"/>
      </w:tblGrid>
      <w:tr w:rsidR="002C7A9E" w:rsidRPr="00606F75" w14:paraId="664F633F" w14:textId="77777777">
        <w:trPr>
          <w:jc w:val="center"/>
        </w:trPr>
        <w:tc>
          <w:tcPr>
            <w:tcW w:w="1742" w:type="dxa"/>
            <w:shd w:val="clear" w:color="auto" w:fill="17365D"/>
            <w:vAlign w:val="center"/>
          </w:tcPr>
          <w:p w14:paraId="29B402CE" w14:textId="77777777" w:rsidR="002C7A9E" w:rsidRPr="00606F75" w:rsidRDefault="00000000">
            <w:pPr>
              <w:rPr>
                <w:sz w:val="20"/>
                <w:szCs w:val="28"/>
              </w:rPr>
            </w:pPr>
            <w:r w:rsidRPr="00606F75">
              <w:rPr>
                <w:b/>
                <w:color w:val="FFFFFF"/>
                <w:sz w:val="18"/>
                <w:szCs w:val="28"/>
              </w:rPr>
              <w:t>Driver</w:t>
            </w:r>
          </w:p>
        </w:tc>
        <w:tc>
          <w:tcPr>
            <w:tcW w:w="1742" w:type="dxa"/>
            <w:shd w:val="clear" w:color="auto" w:fill="17365D"/>
            <w:vAlign w:val="center"/>
          </w:tcPr>
          <w:p w14:paraId="79DC6961" w14:textId="77777777" w:rsidR="002C7A9E" w:rsidRPr="00606F75" w:rsidRDefault="00000000">
            <w:pPr>
              <w:rPr>
                <w:sz w:val="20"/>
                <w:szCs w:val="28"/>
              </w:rPr>
            </w:pPr>
            <w:r w:rsidRPr="00606F75">
              <w:rPr>
                <w:b/>
                <w:color w:val="FFFFFF"/>
                <w:sz w:val="18"/>
                <w:szCs w:val="28"/>
              </w:rPr>
              <w:t>FY27E</w:t>
            </w:r>
          </w:p>
        </w:tc>
        <w:tc>
          <w:tcPr>
            <w:tcW w:w="1742" w:type="dxa"/>
            <w:shd w:val="clear" w:color="auto" w:fill="17365D"/>
            <w:vAlign w:val="center"/>
          </w:tcPr>
          <w:p w14:paraId="17C3B88F" w14:textId="77777777" w:rsidR="002C7A9E" w:rsidRPr="00606F75" w:rsidRDefault="00000000">
            <w:pPr>
              <w:rPr>
                <w:sz w:val="20"/>
                <w:szCs w:val="28"/>
              </w:rPr>
            </w:pPr>
            <w:r w:rsidRPr="00606F75">
              <w:rPr>
                <w:b/>
                <w:color w:val="FFFFFF"/>
                <w:sz w:val="18"/>
                <w:szCs w:val="28"/>
              </w:rPr>
              <w:t>FY28E</w:t>
            </w:r>
          </w:p>
        </w:tc>
        <w:tc>
          <w:tcPr>
            <w:tcW w:w="1742" w:type="dxa"/>
            <w:shd w:val="clear" w:color="auto" w:fill="17365D"/>
            <w:vAlign w:val="center"/>
          </w:tcPr>
          <w:p w14:paraId="4A8C056A" w14:textId="77777777" w:rsidR="002C7A9E" w:rsidRPr="00606F75" w:rsidRDefault="00000000">
            <w:pPr>
              <w:rPr>
                <w:sz w:val="20"/>
                <w:szCs w:val="28"/>
              </w:rPr>
            </w:pPr>
            <w:r w:rsidRPr="00606F75">
              <w:rPr>
                <w:b/>
                <w:color w:val="FFFFFF"/>
                <w:sz w:val="18"/>
                <w:szCs w:val="28"/>
              </w:rPr>
              <w:t>FY29E</w:t>
            </w:r>
          </w:p>
        </w:tc>
        <w:tc>
          <w:tcPr>
            <w:tcW w:w="1742" w:type="dxa"/>
            <w:shd w:val="clear" w:color="auto" w:fill="17365D"/>
            <w:vAlign w:val="center"/>
          </w:tcPr>
          <w:p w14:paraId="78B88793" w14:textId="77777777" w:rsidR="002C7A9E" w:rsidRPr="00606F75" w:rsidRDefault="00000000">
            <w:pPr>
              <w:rPr>
                <w:sz w:val="20"/>
                <w:szCs w:val="28"/>
              </w:rPr>
            </w:pPr>
            <w:r w:rsidRPr="00606F75">
              <w:rPr>
                <w:b/>
                <w:color w:val="FFFFFF"/>
                <w:sz w:val="18"/>
                <w:szCs w:val="28"/>
              </w:rPr>
              <w:t>FY30E</w:t>
            </w:r>
          </w:p>
        </w:tc>
        <w:tc>
          <w:tcPr>
            <w:tcW w:w="1742" w:type="dxa"/>
            <w:shd w:val="clear" w:color="auto" w:fill="17365D"/>
            <w:vAlign w:val="center"/>
          </w:tcPr>
          <w:p w14:paraId="5A360AF6" w14:textId="77777777" w:rsidR="002C7A9E" w:rsidRPr="00606F75" w:rsidRDefault="00000000">
            <w:pPr>
              <w:rPr>
                <w:sz w:val="20"/>
                <w:szCs w:val="28"/>
              </w:rPr>
            </w:pPr>
            <w:r w:rsidRPr="00606F75">
              <w:rPr>
                <w:b/>
                <w:color w:val="FFFFFF"/>
                <w:sz w:val="18"/>
                <w:szCs w:val="28"/>
              </w:rPr>
              <w:t>FY31E</w:t>
            </w:r>
          </w:p>
        </w:tc>
      </w:tr>
      <w:tr w:rsidR="002C7A9E" w:rsidRPr="00606F75" w14:paraId="1CAE5D74" w14:textId="77777777">
        <w:trPr>
          <w:jc w:val="center"/>
        </w:trPr>
        <w:tc>
          <w:tcPr>
            <w:tcW w:w="1742" w:type="dxa"/>
            <w:vAlign w:val="center"/>
          </w:tcPr>
          <w:p w14:paraId="0E9F4699" w14:textId="77777777" w:rsidR="002C7A9E" w:rsidRPr="00606F75" w:rsidRDefault="00000000">
            <w:pPr>
              <w:rPr>
                <w:sz w:val="20"/>
                <w:szCs w:val="28"/>
              </w:rPr>
            </w:pPr>
            <w:r w:rsidRPr="00606F75">
              <w:rPr>
                <w:sz w:val="18"/>
                <w:szCs w:val="28"/>
              </w:rPr>
              <w:t>Delivery growth</w:t>
            </w:r>
          </w:p>
        </w:tc>
        <w:tc>
          <w:tcPr>
            <w:tcW w:w="1742" w:type="dxa"/>
            <w:vAlign w:val="center"/>
          </w:tcPr>
          <w:p w14:paraId="0F6425D7" w14:textId="77777777" w:rsidR="002C7A9E" w:rsidRPr="00606F75" w:rsidRDefault="00000000">
            <w:pPr>
              <w:rPr>
                <w:sz w:val="20"/>
                <w:szCs w:val="28"/>
              </w:rPr>
            </w:pPr>
            <w:r w:rsidRPr="00606F75">
              <w:rPr>
                <w:sz w:val="18"/>
                <w:szCs w:val="28"/>
              </w:rPr>
              <w:t>2.5%</w:t>
            </w:r>
          </w:p>
        </w:tc>
        <w:tc>
          <w:tcPr>
            <w:tcW w:w="1742" w:type="dxa"/>
            <w:vAlign w:val="center"/>
          </w:tcPr>
          <w:p w14:paraId="100C5CCF" w14:textId="77777777" w:rsidR="002C7A9E" w:rsidRPr="00606F75" w:rsidRDefault="00000000">
            <w:pPr>
              <w:rPr>
                <w:sz w:val="20"/>
                <w:szCs w:val="28"/>
              </w:rPr>
            </w:pPr>
            <w:r w:rsidRPr="00606F75">
              <w:rPr>
                <w:sz w:val="18"/>
                <w:szCs w:val="28"/>
              </w:rPr>
              <w:t>5.0%</w:t>
            </w:r>
          </w:p>
        </w:tc>
        <w:tc>
          <w:tcPr>
            <w:tcW w:w="1742" w:type="dxa"/>
            <w:vAlign w:val="center"/>
          </w:tcPr>
          <w:p w14:paraId="4551316A" w14:textId="77777777" w:rsidR="002C7A9E" w:rsidRPr="00606F75" w:rsidRDefault="00000000">
            <w:pPr>
              <w:rPr>
                <w:sz w:val="20"/>
                <w:szCs w:val="28"/>
              </w:rPr>
            </w:pPr>
            <w:r w:rsidRPr="00606F75">
              <w:rPr>
                <w:sz w:val="18"/>
                <w:szCs w:val="28"/>
              </w:rPr>
              <w:t>4.0%</w:t>
            </w:r>
          </w:p>
        </w:tc>
        <w:tc>
          <w:tcPr>
            <w:tcW w:w="1742" w:type="dxa"/>
            <w:vAlign w:val="center"/>
          </w:tcPr>
          <w:p w14:paraId="56E17C88" w14:textId="77777777" w:rsidR="002C7A9E" w:rsidRPr="00606F75" w:rsidRDefault="00000000">
            <w:pPr>
              <w:rPr>
                <w:sz w:val="20"/>
                <w:szCs w:val="28"/>
              </w:rPr>
            </w:pPr>
            <w:r w:rsidRPr="00606F75">
              <w:rPr>
                <w:sz w:val="18"/>
                <w:szCs w:val="28"/>
              </w:rPr>
              <w:t>3.5%</w:t>
            </w:r>
          </w:p>
        </w:tc>
        <w:tc>
          <w:tcPr>
            <w:tcW w:w="1742" w:type="dxa"/>
            <w:vAlign w:val="center"/>
          </w:tcPr>
          <w:p w14:paraId="2373631F" w14:textId="77777777" w:rsidR="002C7A9E" w:rsidRPr="00606F75" w:rsidRDefault="00000000">
            <w:pPr>
              <w:rPr>
                <w:sz w:val="20"/>
                <w:szCs w:val="28"/>
              </w:rPr>
            </w:pPr>
            <w:r w:rsidRPr="00606F75">
              <w:rPr>
                <w:sz w:val="18"/>
                <w:szCs w:val="28"/>
              </w:rPr>
              <w:t>3.0%</w:t>
            </w:r>
          </w:p>
        </w:tc>
      </w:tr>
      <w:tr w:rsidR="002C7A9E" w:rsidRPr="00606F75" w14:paraId="4A8F87B5" w14:textId="77777777">
        <w:trPr>
          <w:jc w:val="center"/>
        </w:trPr>
        <w:tc>
          <w:tcPr>
            <w:tcW w:w="1742" w:type="dxa"/>
            <w:vAlign w:val="center"/>
          </w:tcPr>
          <w:p w14:paraId="6843DFAA" w14:textId="77777777" w:rsidR="002C7A9E" w:rsidRPr="00606F75" w:rsidRDefault="00000000">
            <w:pPr>
              <w:rPr>
                <w:sz w:val="20"/>
                <w:szCs w:val="28"/>
              </w:rPr>
            </w:pPr>
            <w:r w:rsidRPr="00606F75">
              <w:rPr>
                <w:sz w:val="18"/>
                <w:szCs w:val="28"/>
              </w:rPr>
              <w:t>Realization growth</w:t>
            </w:r>
          </w:p>
        </w:tc>
        <w:tc>
          <w:tcPr>
            <w:tcW w:w="1742" w:type="dxa"/>
            <w:vAlign w:val="center"/>
          </w:tcPr>
          <w:p w14:paraId="0EE86343" w14:textId="77777777" w:rsidR="002C7A9E" w:rsidRPr="00606F75" w:rsidRDefault="00000000">
            <w:pPr>
              <w:rPr>
                <w:sz w:val="20"/>
                <w:szCs w:val="28"/>
              </w:rPr>
            </w:pPr>
            <w:r w:rsidRPr="00606F75">
              <w:rPr>
                <w:sz w:val="18"/>
                <w:szCs w:val="28"/>
              </w:rPr>
              <w:t>3.5%</w:t>
            </w:r>
          </w:p>
        </w:tc>
        <w:tc>
          <w:tcPr>
            <w:tcW w:w="1742" w:type="dxa"/>
            <w:vAlign w:val="center"/>
          </w:tcPr>
          <w:p w14:paraId="0434C767" w14:textId="77777777" w:rsidR="002C7A9E" w:rsidRPr="00606F75" w:rsidRDefault="00000000">
            <w:pPr>
              <w:rPr>
                <w:sz w:val="20"/>
                <w:szCs w:val="28"/>
              </w:rPr>
            </w:pPr>
            <w:r w:rsidRPr="00606F75">
              <w:rPr>
                <w:sz w:val="18"/>
                <w:szCs w:val="28"/>
              </w:rPr>
              <w:t>2.0%</w:t>
            </w:r>
          </w:p>
        </w:tc>
        <w:tc>
          <w:tcPr>
            <w:tcW w:w="1742" w:type="dxa"/>
            <w:vAlign w:val="center"/>
          </w:tcPr>
          <w:p w14:paraId="77D26786" w14:textId="77777777" w:rsidR="002C7A9E" w:rsidRPr="00606F75" w:rsidRDefault="00000000">
            <w:pPr>
              <w:rPr>
                <w:sz w:val="20"/>
                <w:szCs w:val="28"/>
              </w:rPr>
            </w:pPr>
            <w:r w:rsidRPr="00606F75">
              <w:rPr>
                <w:sz w:val="18"/>
                <w:szCs w:val="28"/>
              </w:rPr>
              <w:t>2.0%</w:t>
            </w:r>
          </w:p>
        </w:tc>
        <w:tc>
          <w:tcPr>
            <w:tcW w:w="1742" w:type="dxa"/>
            <w:vAlign w:val="center"/>
          </w:tcPr>
          <w:p w14:paraId="5DDA66DB" w14:textId="77777777" w:rsidR="002C7A9E" w:rsidRPr="00606F75" w:rsidRDefault="00000000">
            <w:pPr>
              <w:rPr>
                <w:sz w:val="20"/>
                <w:szCs w:val="28"/>
              </w:rPr>
            </w:pPr>
            <w:r w:rsidRPr="00606F75">
              <w:rPr>
                <w:sz w:val="18"/>
                <w:szCs w:val="28"/>
              </w:rPr>
              <w:t>2.5%</w:t>
            </w:r>
          </w:p>
        </w:tc>
        <w:tc>
          <w:tcPr>
            <w:tcW w:w="1742" w:type="dxa"/>
            <w:vAlign w:val="center"/>
          </w:tcPr>
          <w:p w14:paraId="1EA8BE0C" w14:textId="77777777" w:rsidR="002C7A9E" w:rsidRPr="00606F75" w:rsidRDefault="00000000">
            <w:pPr>
              <w:rPr>
                <w:sz w:val="20"/>
                <w:szCs w:val="28"/>
              </w:rPr>
            </w:pPr>
            <w:r w:rsidRPr="00606F75">
              <w:rPr>
                <w:sz w:val="18"/>
                <w:szCs w:val="28"/>
              </w:rPr>
              <w:t>2.5%</w:t>
            </w:r>
          </w:p>
        </w:tc>
      </w:tr>
      <w:tr w:rsidR="002C7A9E" w:rsidRPr="00606F75" w14:paraId="54CCC3C6" w14:textId="77777777">
        <w:trPr>
          <w:jc w:val="center"/>
        </w:trPr>
        <w:tc>
          <w:tcPr>
            <w:tcW w:w="1742" w:type="dxa"/>
            <w:vAlign w:val="center"/>
          </w:tcPr>
          <w:p w14:paraId="7F56112D" w14:textId="77777777" w:rsidR="002C7A9E" w:rsidRPr="00606F75" w:rsidRDefault="00000000">
            <w:pPr>
              <w:rPr>
                <w:sz w:val="20"/>
                <w:szCs w:val="28"/>
              </w:rPr>
            </w:pPr>
            <w:r w:rsidRPr="00606F75">
              <w:rPr>
                <w:sz w:val="18"/>
                <w:szCs w:val="28"/>
              </w:rPr>
              <w:t>EBITDA margin</w:t>
            </w:r>
          </w:p>
        </w:tc>
        <w:tc>
          <w:tcPr>
            <w:tcW w:w="1742" w:type="dxa"/>
            <w:vAlign w:val="center"/>
          </w:tcPr>
          <w:p w14:paraId="23DDF72A" w14:textId="77777777" w:rsidR="002C7A9E" w:rsidRPr="00606F75" w:rsidRDefault="00000000">
            <w:pPr>
              <w:rPr>
                <w:sz w:val="20"/>
                <w:szCs w:val="28"/>
              </w:rPr>
            </w:pPr>
            <w:r w:rsidRPr="00606F75">
              <w:rPr>
                <w:sz w:val="18"/>
                <w:szCs w:val="28"/>
              </w:rPr>
              <w:t>15.5%</w:t>
            </w:r>
          </w:p>
        </w:tc>
        <w:tc>
          <w:tcPr>
            <w:tcW w:w="1742" w:type="dxa"/>
            <w:vAlign w:val="center"/>
          </w:tcPr>
          <w:p w14:paraId="155FDE00" w14:textId="77777777" w:rsidR="002C7A9E" w:rsidRPr="00606F75" w:rsidRDefault="00000000">
            <w:pPr>
              <w:rPr>
                <w:sz w:val="20"/>
                <w:szCs w:val="28"/>
              </w:rPr>
            </w:pPr>
            <w:r w:rsidRPr="00606F75">
              <w:rPr>
                <w:sz w:val="18"/>
                <w:szCs w:val="28"/>
              </w:rPr>
              <w:t>16.0%</w:t>
            </w:r>
          </w:p>
        </w:tc>
        <w:tc>
          <w:tcPr>
            <w:tcW w:w="1742" w:type="dxa"/>
            <w:vAlign w:val="center"/>
          </w:tcPr>
          <w:p w14:paraId="19D47461" w14:textId="77777777" w:rsidR="002C7A9E" w:rsidRPr="00606F75" w:rsidRDefault="00000000">
            <w:pPr>
              <w:rPr>
                <w:sz w:val="20"/>
                <w:szCs w:val="28"/>
              </w:rPr>
            </w:pPr>
            <w:r w:rsidRPr="00606F75">
              <w:rPr>
                <w:sz w:val="18"/>
                <w:szCs w:val="28"/>
              </w:rPr>
              <w:t>16.5%</w:t>
            </w:r>
          </w:p>
        </w:tc>
        <w:tc>
          <w:tcPr>
            <w:tcW w:w="1742" w:type="dxa"/>
            <w:vAlign w:val="center"/>
          </w:tcPr>
          <w:p w14:paraId="06816091" w14:textId="77777777" w:rsidR="002C7A9E" w:rsidRPr="00606F75" w:rsidRDefault="00000000">
            <w:pPr>
              <w:rPr>
                <w:sz w:val="20"/>
                <w:szCs w:val="28"/>
              </w:rPr>
            </w:pPr>
            <w:r w:rsidRPr="00606F75">
              <w:rPr>
                <w:sz w:val="18"/>
                <w:szCs w:val="28"/>
              </w:rPr>
              <w:t>17.0%</w:t>
            </w:r>
          </w:p>
        </w:tc>
        <w:tc>
          <w:tcPr>
            <w:tcW w:w="1742" w:type="dxa"/>
            <w:vAlign w:val="center"/>
          </w:tcPr>
          <w:p w14:paraId="2C625E6A" w14:textId="77777777" w:rsidR="002C7A9E" w:rsidRPr="00606F75" w:rsidRDefault="00000000">
            <w:pPr>
              <w:rPr>
                <w:sz w:val="20"/>
                <w:szCs w:val="28"/>
              </w:rPr>
            </w:pPr>
            <w:r w:rsidRPr="00606F75">
              <w:rPr>
                <w:sz w:val="18"/>
                <w:szCs w:val="28"/>
              </w:rPr>
              <w:t>17.0%</w:t>
            </w:r>
          </w:p>
        </w:tc>
      </w:tr>
      <w:tr w:rsidR="002C7A9E" w:rsidRPr="00606F75" w14:paraId="551C9D14" w14:textId="77777777">
        <w:trPr>
          <w:jc w:val="center"/>
        </w:trPr>
        <w:tc>
          <w:tcPr>
            <w:tcW w:w="1742" w:type="dxa"/>
            <w:vAlign w:val="center"/>
          </w:tcPr>
          <w:p w14:paraId="4E7F76C5" w14:textId="77777777" w:rsidR="002C7A9E" w:rsidRPr="00606F75" w:rsidRDefault="00000000">
            <w:pPr>
              <w:rPr>
                <w:sz w:val="20"/>
                <w:szCs w:val="28"/>
              </w:rPr>
            </w:pPr>
            <w:r w:rsidRPr="00606F75">
              <w:rPr>
                <w:sz w:val="18"/>
                <w:szCs w:val="28"/>
              </w:rPr>
              <w:t>Total capex</w:t>
            </w:r>
          </w:p>
        </w:tc>
        <w:tc>
          <w:tcPr>
            <w:tcW w:w="1742" w:type="dxa"/>
            <w:vAlign w:val="center"/>
          </w:tcPr>
          <w:p w14:paraId="0AFC365E" w14:textId="77777777" w:rsidR="002C7A9E" w:rsidRPr="00606F75" w:rsidRDefault="00000000">
            <w:pPr>
              <w:rPr>
                <w:sz w:val="20"/>
                <w:szCs w:val="28"/>
              </w:rPr>
            </w:pPr>
            <w:r w:rsidRPr="00606F75">
              <w:rPr>
                <w:sz w:val="18"/>
                <w:szCs w:val="28"/>
              </w:rPr>
              <w:t>Rs 20,000</w:t>
            </w:r>
          </w:p>
        </w:tc>
        <w:tc>
          <w:tcPr>
            <w:tcW w:w="1742" w:type="dxa"/>
            <w:vAlign w:val="center"/>
          </w:tcPr>
          <w:p w14:paraId="08BE5C9D" w14:textId="77777777" w:rsidR="002C7A9E" w:rsidRPr="00606F75" w:rsidRDefault="00000000">
            <w:pPr>
              <w:rPr>
                <w:sz w:val="20"/>
                <w:szCs w:val="28"/>
              </w:rPr>
            </w:pPr>
            <w:r w:rsidRPr="00606F75">
              <w:rPr>
                <w:sz w:val="18"/>
                <w:szCs w:val="28"/>
              </w:rPr>
              <w:t>Rs 22,000</w:t>
            </w:r>
          </w:p>
        </w:tc>
        <w:tc>
          <w:tcPr>
            <w:tcW w:w="1742" w:type="dxa"/>
            <w:vAlign w:val="center"/>
          </w:tcPr>
          <w:p w14:paraId="09F3A9D0" w14:textId="77777777" w:rsidR="002C7A9E" w:rsidRPr="00606F75" w:rsidRDefault="00000000">
            <w:pPr>
              <w:rPr>
                <w:sz w:val="20"/>
                <w:szCs w:val="28"/>
              </w:rPr>
            </w:pPr>
            <w:r w:rsidRPr="00606F75">
              <w:rPr>
                <w:sz w:val="18"/>
                <w:szCs w:val="28"/>
              </w:rPr>
              <w:t>Rs 23,000</w:t>
            </w:r>
          </w:p>
        </w:tc>
        <w:tc>
          <w:tcPr>
            <w:tcW w:w="1742" w:type="dxa"/>
            <w:vAlign w:val="center"/>
          </w:tcPr>
          <w:p w14:paraId="63C63B92" w14:textId="77777777" w:rsidR="002C7A9E" w:rsidRPr="00606F75" w:rsidRDefault="00000000">
            <w:pPr>
              <w:rPr>
                <w:sz w:val="20"/>
                <w:szCs w:val="28"/>
              </w:rPr>
            </w:pPr>
            <w:r w:rsidRPr="00606F75">
              <w:rPr>
                <w:sz w:val="18"/>
                <w:szCs w:val="28"/>
              </w:rPr>
              <w:t>Rs 20,000</w:t>
            </w:r>
          </w:p>
        </w:tc>
        <w:tc>
          <w:tcPr>
            <w:tcW w:w="1742" w:type="dxa"/>
            <w:vAlign w:val="center"/>
          </w:tcPr>
          <w:p w14:paraId="46E833EB" w14:textId="77777777" w:rsidR="002C7A9E" w:rsidRPr="00606F75" w:rsidRDefault="00000000">
            <w:pPr>
              <w:rPr>
                <w:sz w:val="20"/>
                <w:szCs w:val="28"/>
              </w:rPr>
            </w:pPr>
            <w:r w:rsidRPr="00606F75">
              <w:rPr>
                <w:sz w:val="18"/>
                <w:szCs w:val="28"/>
              </w:rPr>
              <w:t>Rs 18,000</w:t>
            </w:r>
          </w:p>
        </w:tc>
      </w:tr>
      <w:tr w:rsidR="002C7A9E" w:rsidRPr="00606F75" w14:paraId="783F1BB4" w14:textId="77777777">
        <w:trPr>
          <w:jc w:val="center"/>
        </w:trPr>
        <w:tc>
          <w:tcPr>
            <w:tcW w:w="1742" w:type="dxa"/>
            <w:vAlign w:val="center"/>
          </w:tcPr>
          <w:p w14:paraId="45C2F8E2" w14:textId="77777777" w:rsidR="002C7A9E" w:rsidRPr="00606F75" w:rsidRDefault="00000000">
            <w:pPr>
              <w:rPr>
                <w:sz w:val="20"/>
                <w:szCs w:val="28"/>
              </w:rPr>
            </w:pPr>
            <w:r w:rsidRPr="00606F75">
              <w:rPr>
                <w:sz w:val="18"/>
                <w:szCs w:val="28"/>
              </w:rPr>
              <w:t>Maintenance capex</w:t>
            </w:r>
          </w:p>
        </w:tc>
        <w:tc>
          <w:tcPr>
            <w:tcW w:w="1742" w:type="dxa"/>
            <w:vAlign w:val="center"/>
          </w:tcPr>
          <w:p w14:paraId="63D2D02A" w14:textId="77777777" w:rsidR="002C7A9E" w:rsidRPr="00606F75" w:rsidRDefault="00000000">
            <w:pPr>
              <w:rPr>
                <w:sz w:val="20"/>
                <w:szCs w:val="28"/>
              </w:rPr>
            </w:pPr>
            <w:r w:rsidRPr="00606F75">
              <w:rPr>
                <w:sz w:val="18"/>
                <w:szCs w:val="28"/>
              </w:rPr>
              <w:t>3.0% of revenue</w:t>
            </w:r>
          </w:p>
        </w:tc>
        <w:tc>
          <w:tcPr>
            <w:tcW w:w="1742" w:type="dxa"/>
            <w:vAlign w:val="center"/>
          </w:tcPr>
          <w:p w14:paraId="2988C1D6" w14:textId="77777777" w:rsidR="002C7A9E" w:rsidRPr="00606F75" w:rsidRDefault="00000000">
            <w:pPr>
              <w:rPr>
                <w:sz w:val="20"/>
                <w:szCs w:val="28"/>
              </w:rPr>
            </w:pPr>
            <w:r w:rsidRPr="00606F75">
              <w:rPr>
                <w:sz w:val="18"/>
                <w:szCs w:val="28"/>
              </w:rPr>
              <w:t>3.0%</w:t>
            </w:r>
          </w:p>
        </w:tc>
        <w:tc>
          <w:tcPr>
            <w:tcW w:w="1742" w:type="dxa"/>
            <w:vAlign w:val="center"/>
          </w:tcPr>
          <w:p w14:paraId="7E80FBC4" w14:textId="77777777" w:rsidR="002C7A9E" w:rsidRPr="00606F75" w:rsidRDefault="00000000">
            <w:pPr>
              <w:rPr>
                <w:sz w:val="20"/>
                <w:szCs w:val="28"/>
              </w:rPr>
            </w:pPr>
            <w:r w:rsidRPr="00606F75">
              <w:rPr>
                <w:sz w:val="18"/>
                <w:szCs w:val="28"/>
              </w:rPr>
              <w:t>3.0%</w:t>
            </w:r>
          </w:p>
        </w:tc>
        <w:tc>
          <w:tcPr>
            <w:tcW w:w="1742" w:type="dxa"/>
            <w:vAlign w:val="center"/>
          </w:tcPr>
          <w:p w14:paraId="354783EB" w14:textId="77777777" w:rsidR="002C7A9E" w:rsidRPr="00606F75" w:rsidRDefault="00000000">
            <w:pPr>
              <w:rPr>
                <w:sz w:val="20"/>
                <w:szCs w:val="28"/>
              </w:rPr>
            </w:pPr>
            <w:r w:rsidRPr="00606F75">
              <w:rPr>
                <w:sz w:val="18"/>
                <w:szCs w:val="28"/>
              </w:rPr>
              <w:t>3.0%</w:t>
            </w:r>
          </w:p>
        </w:tc>
        <w:tc>
          <w:tcPr>
            <w:tcW w:w="1742" w:type="dxa"/>
            <w:vAlign w:val="center"/>
          </w:tcPr>
          <w:p w14:paraId="139C8FA3" w14:textId="77777777" w:rsidR="002C7A9E" w:rsidRPr="00606F75" w:rsidRDefault="00000000">
            <w:pPr>
              <w:rPr>
                <w:sz w:val="20"/>
                <w:szCs w:val="28"/>
              </w:rPr>
            </w:pPr>
            <w:r w:rsidRPr="00606F75">
              <w:rPr>
                <w:sz w:val="18"/>
                <w:szCs w:val="28"/>
              </w:rPr>
              <w:t>3.0%</w:t>
            </w:r>
          </w:p>
        </w:tc>
      </w:tr>
    </w:tbl>
    <w:p w14:paraId="2816D123" w14:textId="77777777" w:rsidR="002C7A9E" w:rsidRPr="00606F75" w:rsidRDefault="00000000">
      <w:pPr>
        <w:spacing w:after="60" w:line="245" w:lineRule="auto"/>
        <w:rPr>
          <w:sz w:val="20"/>
          <w:szCs w:val="28"/>
        </w:rPr>
      </w:pPr>
      <w:r w:rsidRPr="00606F75">
        <w:rPr>
          <w:sz w:val="20"/>
          <w:szCs w:val="28"/>
        </w:rPr>
        <w:t>FY2027 volume growth is kept below India's headline demand growth because Q1 deliveries were affected by planned maintenance shutdowns and because consolidated European volumes are not assumed to accelerate with India. FY2028-FY2029 growth is higher as Indian expansions ramp, then normalises.</w:t>
      </w:r>
    </w:p>
    <w:p w14:paraId="0E61F23A" w14:textId="77777777" w:rsidR="002C7A9E" w:rsidRPr="00606F75" w:rsidRDefault="00000000">
      <w:pPr>
        <w:spacing w:after="60" w:line="245" w:lineRule="auto"/>
        <w:rPr>
          <w:sz w:val="20"/>
          <w:szCs w:val="28"/>
        </w:rPr>
      </w:pPr>
      <w:r w:rsidRPr="00606F75">
        <w:rPr>
          <w:sz w:val="20"/>
          <w:szCs w:val="28"/>
        </w:rPr>
        <w:t>Realization growth is deliberately modest. The base case does not assume peak-cycle steel pricing. EBITDA margin expands from 15.5% to 17.0%, reflecting cost transformation, mix, operating leverage and India growth, but remains capped to avoid embedding a structural peak margin.</w:t>
      </w:r>
    </w:p>
    <w:p w14:paraId="5E964B9F" w14:textId="77777777" w:rsidR="002C7A9E" w:rsidRPr="00606F75" w:rsidRDefault="00000000">
      <w:pPr>
        <w:pStyle w:val="Heading2"/>
        <w:rPr>
          <w:sz w:val="24"/>
          <w:szCs w:val="32"/>
        </w:rPr>
      </w:pPr>
      <w:r w:rsidRPr="00606F75">
        <w:rPr>
          <w:sz w:val="24"/>
          <w:szCs w:val="32"/>
        </w:rPr>
        <w:t>Working Capital Mechanics</w:t>
      </w:r>
    </w:p>
    <w:p w14:paraId="46E00793" w14:textId="77777777" w:rsidR="002C7A9E" w:rsidRPr="00606F75" w:rsidRDefault="00000000">
      <w:pPr>
        <w:spacing w:after="60" w:line="245" w:lineRule="auto"/>
        <w:rPr>
          <w:sz w:val="20"/>
          <w:szCs w:val="28"/>
        </w:rPr>
      </w:pPr>
      <w:r w:rsidRPr="00606F75">
        <w:rPr>
          <w:sz w:val="20"/>
          <w:szCs w:val="28"/>
        </w:rPr>
        <w:t>Receivables are projected using DSO: Trade Receivables = Revenue x DSO / 365. Inventory and payables are linked to cash operating cost, defined in the model as Revenue less EBITDA. Inventory = Cash Operating Cost x DIO / 365; Trade Payables = Cash Operating Cost x DPO / 365.</w:t>
      </w:r>
    </w:p>
    <w:p w14:paraId="1B8F7310" w14:textId="77777777" w:rsidR="002C7A9E" w:rsidRPr="00606F75" w:rsidRDefault="00000000">
      <w:pPr>
        <w:spacing w:after="60" w:line="245" w:lineRule="auto"/>
        <w:rPr>
          <w:sz w:val="20"/>
          <w:szCs w:val="28"/>
        </w:rPr>
      </w:pPr>
      <w:r w:rsidRPr="00606F75">
        <w:rPr>
          <w:sz w:val="20"/>
          <w:szCs w:val="28"/>
        </w:rPr>
        <w:t>The base case assumes approximately 8 days DSO, DIO declining gradually from 87 to 82 days, and DPO remaining around 64-65 days. The underwriting intentionally avoids assuming an aggressive working-capital release. In downside cases, working-capital absorption is explicitly stressed.</w:t>
      </w:r>
    </w:p>
    <w:p w14:paraId="693DEC6D" w14:textId="77777777" w:rsidR="002C7A9E" w:rsidRPr="00606F75" w:rsidRDefault="00000000">
      <w:pPr>
        <w:pStyle w:val="Heading2"/>
        <w:rPr>
          <w:sz w:val="24"/>
          <w:szCs w:val="32"/>
        </w:rPr>
      </w:pPr>
      <w:r w:rsidRPr="00606F75">
        <w:rPr>
          <w:sz w:val="24"/>
          <w:szCs w:val="32"/>
        </w:rPr>
        <w:t>Capex &amp; Depreciation Build</w:t>
      </w:r>
    </w:p>
    <w:p w14:paraId="07A3F39C" w14:textId="77777777" w:rsidR="002C7A9E" w:rsidRPr="00606F75" w:rsidRDefault="00000000">
      <w:pPr>
        <w:spacing w:after="60" w:line="245" w:lineRule="auto"/>
        <w:rPr>
          <w:sz w:val="20"/>
          <w:szCs w:val="28"/>
        </w:rPr>
      </w:pPr>
      <w:r w:rsidRPr="00606F75">
        <w:rPr>
          <w:sz w:val="20"/>
          <w:szCs w:val="28"/>
        </w:rPr>
        <w:t>Total capex is split between maintenance and expansion / transition spending. Maintenance capex is modelled at 3.0% of revenue, while expansion capex represents the residual. Expansion spending is further split between Indian growth and Europe / other growth. The split provides a lender-relevant distinction between recurring sustaining investment and discretionary / strategic project investment.</w:t>
      </w:r>
    </w:p>
    <w:p w14:paraId="37C54B43" w14:textId="77777777" w:rsidR="002C7A9E" w:rsidRPr="00606F75" w:rsidRDefault="00000000">
      <w:pPr>
        <w:spacing w:after="60" w:line="245" w:lineRule="auto"/>
        <w:rPr>
          <w:sz w:val="20"/>
          <w:szCs w:val="28"/>
        </w:rPr>
      </w:pPr>
      <w:r w:rsidRPr="00606F75">
        <w:rPr>
          <w:sz w:val="20"/>
          <w:szCs w:val="28"/>
        </w:rPr>
        <w:t>Depreciation is linked to opening PP&amp;E, maintenance capex and capitalised expansion from CWIP. Expansion capex first accumulates in CWIP and is capitalised progressively, preventing the model from depreciating uncommissioned projects immediately.</w:t>
      </w:r>
    </w:p>
    <w:p w14:paraId="26E52DE5" w14:textId="77777777" w:rsidR="002C7A9E" w:rsidRPr="00606F75" w:rsidRDefault="00000000">
      <w:pPr>
        <w:pStyle w:val="Heading2"/>
        <w:rPr>
          <w:sz w:val="24"/>
          <w:szCs w:val="32"/>
        </w:rPr>
      </w:pPr>
      <w:r w:rsidRPr="00606F75">
        <w:rPr>
          <w:sz w:val="24"/>
          <w:szCs w:val="32"/>
        </w:rPr>
        <w:t>Capital Allocation &amp; Debt Sweep</w:t>
      </w:r>
    </w:p>
    <w:p w14:paraId="411E7AE4" w14:textId="77777777" w:rsidR="002C7A9E" w:rsidRPr="00606F75" w:rsidRDefault="00000000">
      <w:pPr>
        <w:spacing w:after="60" w:line="245" w:lineRule="auto"/>
        <w:rPr>
          <w:sz w:val="20"/>
          <w:szCs w:val="28"/>
        </w:rPr>
      </w:pPr>
      <w:r w:rsidRPr="00606F75">
        <w:rPr>
          <w:sz w:val="20"/>
          <w:szCs w:val="28"/>
        </w:rPr>
        <w:t>The revised debt model retains a minimum Rs 13,000 crore cash balance and sweeps only 25%-40% of excess cash to debt. This is intentionally more conservative than assuming that all free cash flow is immediately used for deleveraging. New borrowing is permitted when the model would otherwise fall below minimum cash.</w:t>
      </w:r>
    </w:p>
    <w:p w14:paraId="495D485B" w14:textId="77777777" w:rsidR="002C7A9E" w:rsidRPr="00606F75" w:rsidRDefault="00000000">
      <w:pPr>
        <w:spacing w:after="60" w:line="245" w:lineRule="auto"/>
        <w:rPr>
          <w:sz w:val="20"/>
          <w:szCs w:val="28"/>
        </w:rPr>
      </w:pPr>
      <w:r w:rsidRPr="00606F75">
        <w:rPr>
          <w:sz w:val="20"/>
          <w:szCs w:val="28"/>
        </w:rPr>
        <w:t>Under this framework, gross debt remains elevated during the heavy capex period while net debt declines more gradually, which is more consistent with Q1 FY2027 observed leverage and management's through-cycle framework.</w:t>
      </w:r>
    </w:p>
    <w:p w14:paraId="1AADA87F" w14:textId="77777777" w:rsidR="002C7A9E" w:rsidRPr="00606F75" w:rsidRDefault="00000000">
      <w:pPr>
        <w:rPr>
          <w:sz w:val="20"/>
          <w:szCs w:val="28"/>
        </w:rPr>
      </w:pPr>
      <w:r w:rsidRPr="00606F75">
        <w:rPr>
          <w:sz w:val="20"/>
          <w:szCs w:val="28"/>
        </w:rPr>
        <w:br w:type="page"/>
      </w:r>
    </w:p>
    <w:p w14:paraId="1325D706" w14:textId="77777777" w:rsidR="002C7A9E" w:rsidRPr="00606F75" w:rsidRDefault="00000000">
      <w:pPr>
        <w:pStyle w:val="Heading1"/>
        <w:rPr>
          <w:sz w:val="32"/>
          <w:szCs w:val="36"/>
        </w:rPr>
      </w:pPr>
      <w:r w:rsidRPr="00606F75">
        <w:rPr>
          <w:sz w:val="32"/>
          <w:szCs w:val="36"/>
        </w:rPr>
        <w:lastRenderedPageBreak/>
        <w:t>3. Financial Analysis, Debt Service &amp; Downside</w:t>
      </w:r>
    </w:p>
    <w:tbl>
      <w:tblPr>
        <w:tblStyle w:val="TableGrid"/>
        <w:tblW w:w="0" w:type="auto"/>
        <w:jc w:val="center"/>
        <w:tblLook w:val="04A0" w:firstRow="1" w:lastRow="0" w:firstColumn="1" w:lastColumn="0" w:noHBand="0" w:noVBand="1"/>
      </w:tblPr>
      <w:tblGrid>
        <w:gridCol w:w="1740"/>
        <w:gridCol w:w="1740"/>
        <w:gridCol w:w="1741"/>
        <w:gridCol w:w="1741"/>
        <w:gridCol w:w="1741"/>
        <w:gridCol w:w="1741"/>
      </w:tblGrid>
      <w:tr w:rsidR="002C7A9E" w:rsidRPr="00606F75" w14:paraId="77C29F5E" w14:textId="77777777">
        <w:trPr>
          <w:jc w:val="center"/>
        </w:trPr>
        <w:tc>
          <w:tcPr>
            <w:tcW w:w="1742" w:type="dxa"/>
            <w:shd w:val="clear" w:color="auto" w:fill="17365D"/>
            <w:vAlign w:val="center"/>
          </w:tcPr>
          <w:p w14:paraId="2DB6AE37" w14:textId="77777777" w:rsidR="002C7A9E" w:rsidRPr="00606F75" w:rsidRDefault="00000000">
            <w:pPr>
              <w:rPr>
                <w:sz w:val="20"/>
                <w:szCs w:val="28"/>
              </w:rPr>
            </w:pPr>
            <w:r w:rsidRPr="00606F75">
              <w:rPr>
                <w:b/>
                <w:color w:val="FFFFFF"/>
                <w:sz w:val="18"/>
                <w:szCs w:val="28"/>
              </w:rPr>
              <w:t>Metric</w:t>
            </w:r>
          </w:p>
        </w:tc>
        <w:tc>
          <w:tcPr>
            <w:tcW w:w="1742" w:type="dxa"/>
            <w:shd w:val="clear" w:color="auto" w:fill="17365D"/>
            <w:vAlign w:val="center"/>
          </w:tcPr>
          <w:p w14:paraId="54462DD3" w14:textId="77777777" w:rsidR="002C7A9E" w:rsidRPr="00606F75" w:rsidRDefault="00000000">
            <w:pPr>
              <w:rPr>
                <w:sz w:val="20"/>
                <w:szCs w:val="28"/>
              </w:rPr>
            </w:pPr>
            <w:r w:rsidRPr="00606F75">
              <w:rPr>
                <w:b/>
                <w:color w:val="FFFFFF"/>
                <w:sz w:val="18"/>
                <w:szCs w:val="28"/>
              </w:rPr>
              <w:t>FY27E</w:t>
            </w:r>
          </w:p>
        </w:tc>
        <w:tc>
          <w:tcPr>
            <w:tcW w:w="1742" w:type="dxa"/>
            <w:shd w:val="clear" w:color="auto" w:fill="17365D"/>
            <w:vAlign w:val="center"/>
          </w:tcPr>
          <w:p w14:paraId="2358DA2F" w14:textId="77777777" w:rsidR="002C7A9E" w:rsidRPr="00606F75" w:rsidRDefault="00000000">
            <w:pPr>
              <w:rPr>
                <w:sz w:val="20"/>
                <w:szCs w:val="28"/>
              </w:rPr>
            </w:pPr>
            <w:r w:rsidRPr="00606F75">
              <w:rPr>
                <w:b/>
                <w:color w:val="FFFFFF"/>
                <w:sz w:val="18"/>
                <w:szCs w:val="28"/>
              </w:rPr>
              <w:t>FY28E</w:t>
            </w:r>
          </w:p>
        </w:tc>
        <w:tc>
          <w:tcPr>
            <w:tcW w:w="1742" w:type="dxa"/>
            <w:shd w:val="clear" w:color="auto" w:fill="17365D"/>
            <w:vAlign w:val="center"/>
          </w:tcPr>
          <w:p w14:paraId="22B71172" w14:textId="77777777" w:rsidR="002C7A9E" w:rsidRPr="00606F75" w:rsidRDefault="00000000">
            <w:pPr>
              <w:rPr>
                <w:sz w:val="20"/>
                <w:szCs w:val="28"/>
              </w:rPr>
            </w:pPr>
            <w:r w:rsidRPr="00606F75">
              <w:rPr>
                <w:b/>
                <w:color w:val="FFFFFF"/>
                <w:sz w:val="18"/>
                <w:szCs w:val="28"/>
              </w:rPr>
              <w:t>FY29E</w:t>
            </w:r>
          </w:p>
        </w:tc>
        <w:tc>
          <w:tcPr>
            <w:tcW w:w="1742" w:type="dxa"/>
            <w:shd w:val="clear" w:color="auto" w:fill="17365D"/>
            <w:vAlign w:val="center"/>
          </w:tcPr>
          <w:p w14:paraId="64250A1E" w14:textId="77777777" w:rsidR="002C7A9E" w:rsidRPr="00606F75" w:rsidRDefault="00000000">
            <w:pPr>
              <w:rPr>
                <w:sz w:val="20"/>
                <w:szCs w:val="28"/>
              </w:rPr>
            </w:pPr>
            <w:r w:rsidRPr="00606F75">
              <w:rPr>
                <w:b/>
                <w:color w:val="FFFFFF"/>
                <w:sz w:val="18"/>
                <w:szCs w:val="28"/>
              </w:rPr>
              <w:t>FY30E</w:t>
            </w:r>
          </w:p>
        </w:tc>
        <w:tc>
          <w:tcPr>
            <w:tcW w:w="1742" w:type="dxa"/>
            <w:shd w:val="clear" w:color="auto" w:fill="17365D"/>
            <w:vAlign w:val="center"/>
          </w:tcPr>
          <w:p w14:paraId="7C021A94" w14:textId="77777777" w:rsidR="002C7A9E" w:rsidRPr="00606F75" w:rsidRDefault="00000000">
            <w:pPr>
              <w:rPr>
                <w:sz w:val="20"/>
                <w:szCs w:val="28"/>
              </w:rPr>
            </w:pPr>
            <w:r w:rsidRPr="00606F75">
              <w:rPr>
                <w:b/>
                <w:color w:val="FFFFFF"/>
                <w:sz w:val="18"/>
                <w:szCs w:val="28"/>
              </w:rPr>
              <w:t>FY31E</w:t>
            </w:r>
          </w:p>
        </w:tc>
      </w:tr>
      <w:tr w:rsidR="002C7A9E" w:rsidRPr="00606F75" w14:paraId="547E975B" w14:textId="77777777">
        <w:trPr>
          <w:jc w:val="center"/>
        </w:trPr>
        <w:tc>
          <w:tcPr>
            <w:tcW w:w="1742" w:type="dxa"/>
            <w:vAlign w:val="center"/>
          </w:tcPr>
          <w:p w14:paraId="0068BFE1" w14:textId="77777777" w:rsidR="002C7A9E" w:rsidRPr="00606F75" w:rsidRDefault="00000000">
            <w:pPr>
              <w:rPr>
                <w:sz w:val="20"/>
                <w:szCs w:val="28"/>
              </w:rPr>
            </w:pPr>
            <w:r w:rsidRPr="00606F75">
              <w:rPr>
                <w:sz w:val="18"/>
                <w:szCs w:val="28"/>
              </w:rPr>
              <w:t>Revenue</w:t>
            </w:r>
          </w:p>
        </w:tc>
        <w:tc>
          <w:tcPr>
            <w:tcW w:w="1742" w:type="dxa"/>
            <w:vAlign w:val="center"/>
          </w:tcPr>
          <w:p w14:paraId="4D95CF6A" w14:textId="77777777" w:rsidR="002C7A9E" w:rsidRPr="00606F75" w:rsidRDefault="00000000">
            <w:pPr>
              <w:rPr>
                <w:sz w:val="20"/>
                <w:szCs w:val="28"/>
              </w:rPr>
            </w:pPr>
            <w:r w:rsidRPr="00606F75">
              <w:rPr>
                <w:sz w:val="18"/>
                <w:szCs w:val="28"/>
              </w:rPr>
              <w:t>Rs 246,272</w:t>
            </w:r>
          </w:p>
        </w:tc>
        <w:tc>
          <w:tcPr>
            <w:tcW w:w="1742" w:type="dxa"/>
            <w:vAlign w:val="center"/>
          </w:tcPr>
          <w:p w14:paraId="0742E397" w14:textId="77777777" w:rsidR="002C7A9E" w:rsidRPr="00606F75" w:rsidRDefault="00000000">
            <w:pPr>
              <w:rPr>
                <w:sz w:val="20"/>
                <w:szCs w:val="28"/>
              </w:rPr>
            </w:pPr>
            <w:r w:rsidRPr="00606F75">
              <w:rPr>
                <w:sz w:val="18"/>
                <w:szCs w:val="28"/>
              </w:rPr>
              <w:t>Rs 263,757</w:t>
            </w:r>
          </w:p>
        </w:tc>
        <w:tc>
          <w:tcPr>
            <w:tcW w:w="1742" w:type="dxa"/>
            <w:vAlign w:val="center"/>
          </w:tcPr>
          <w:p w14:paraId="2C21BDB2" w14:textId="77777777" w:rsidR="002C7A9E" w:rsidRPr="00606F75" w:rsidRDefault="00000000">
            <w:pPr>
              <w:rPr>
                <w:sz w:val="20"/>
                <w:szCs w:val="28"/>
              </w:rPr>
            </w:pPr>
            <w:r w:rsidRPr="00606F75">
              <w:rPr>
                <w:sz w:val="18"/>
                <w:szCs w:val="28"/>
              </w:rPr>
              <w:t>Rs 279,793</w:t>
            </w:r>
          </w:p>
        </w:tc>
        <w:tc>
          <w:tcPr>
            <w:tcW w:w="1742" w:type="dxa"/>
            <w:vAlign w:val="center"/>
          </w:tcPr>
          <w:p w14:paraId="25772517" w14:textId="77777777" w:rsidR="002C7A9E" w:rsidRPr="00606F75" w:rsidRDefault="00000000">
            <w:pPr>
              <w:rPr>
                <w:sz w:val="20"/>
                <w:szCs w:val="28"/>
              </w:rPr>
            </w:pPr>
            <w:r w:rsidRPr="00606F75">
              <w:rPr>
                <w:sz w:val="18"/>
                <w:szCs w:val="28"/>
              </w:rPr>
              <w:t>Rs 296,826</w:t>
            </w:r>
          </w:p>
        </w:tc>
        <w:tc>
          <w:tcPr>
            <w:tcW w:w="1742" w:type="dxa"/>
            <w:vAlign w:val="center"/>
          </w:tcPr>
          <w:p w14:paraId="66D6AB82" w14:textId="77777777" w:rsidR="002C7A9E" w:rsidRPr="00606F75" w:rsidRDefault="00000000">
            <w:pPr>
              <w:rPr>
                <w:sz w:val="20"/>
                <w:szCs w:val="28"/>
              </w:rPr>
            </w:pPr>
            <w:r w:rsidRPr="00606F75">
              <w:rPr>
                <w:sz w:val="18"/>
                <w:szCs w:val="28"/>
              </w:rPr>
              <w:t>Rs 313,374</w:t>
            </w:r>
          </w:p>
        </w:tc>
      </w:tr>
      <w:tr w:rsidR="002C7A9E" w:rsidRPr="00606F75" w14:paraId="29781895" w14:textId="77777777">
        <w:trPr>
          <w:jc w:val="center"/>
        </w:trPr>
        <w:tc>
          <w:tcPr>
            <w:tcW w:w="1742" w:type="dxa"/>
            <w:vAlign w:val="center"/>
          </w:tcPr>
          <w:p w14:paraId="178164F0" w14:textId="77777777" w:rsidR="002C7A9E" w:rsidRPr="00606F75" w:rsidRDefault="00000000">
            <w:pPr>
              <w:rPr>
                <w:sz w:val="20"/>
                <w:szCs w:val="28"/>
              </w:rPr>
            </w:pPr>
            <w:r w:rsidRPr="00606F75">
              <w:rPr>
                <w:sz w:val="18"/>
                <w:szCs w:val="28"/>
              </w:rPr>
              <w:t>EBITDA</w:t>
            </w:r>
          </w:p>
        </w:tc>
        <w:tc>
          <w:tcPr>
            <w:tcW w:w="1742" w:type="dxa"/>
            <w:vAlign w:val="center"/>
          </w:tcPr>
          <w:p w14:paraId="5A0A0DB9" w14:textId="77777777" w:rsidR="002C7A9E" w:rsidRPr="00606F75" w:rsidRDefault="00000000">
            <w:pPr>
              <w:rPr>
                <w:sz w:val="20"/>
                <w:szCs w:val="28"/>
              </w:rPr>
            </w:pPr>
            <w:r w:rsidRPr="00606F75">
              <w:rPr>
                <w:sz w:val="18"/>
                <w:szCs w:val="28"/>
              </w:rPr>
              <w:t>Rs 38,172</w:t>
            </w:r>
          </w:p>
        </w:tc>
        <w:tc>
          <w:tcPr>
            <w:tcW w:w="1742" w:type="dxa"/>
            <w:vAlign w:val="center"/>
          </w:tcPr>
          <w:p w14:paraId="4EBD576F" w14:textId="77777777" w:rsidR="002C7A9E" w:rsidRPr="00606F75" w:rsidRDefault="00000000">
            <w:pPr>
              <w:rPr>
                <w:sz w:val="20"/>
                <w:szCs w:val="28"/>
              </w:rPr>
            </w:pPr>
            <w:r w:rsidRPr="00606F75">
              <w:rPr>
                <w:sz w:val="18"/>
                <w:szCs w:val="28"/>
              </w:rPr>
              <w:t>Rs 42,201</w:t>
            </w:r>
          </w:p>
        </w:tc>
        <w:tc>
          <w:tcPr>
            <w:tcW w:w="1742" w:type="dxa"/>
            <w:vAlign w:val="center"/>
          </w:tcPr>
          <w:p w14:paraId="50D0265F" w14:textId="77777777" w:rsidR="002C7A9E" w:rsidRPr="00606F75" w:rsidRDefault="00000000">
            <w:pPr>
              <w:rPr>
                <w:sz w:val="20"/>
                <w:szCs w:val="28"/>
              </w:rPr>
            </w:pPr>
            <w:r w:rsidRPr="00606F75">
              <w:rPr>
                <w:sz w:val="18"/>
                <w:szCs w:val="28"/>
              </w:rPr>
              <w:t>Rs 46,166</w:t>
            </w:r>
          </w:p>
        </w:tc>
        <w:tc>
          <w:tcPr>
            <w:tcW w:w="1742" w:type="dxa"/>
            <w:vAlign w:val="center"/>
          </w:tcPr>
          <w:p w14:paraId="5C5CFDAD" w14:textId="77777777" w:rsidR="002C7A9E" w:rsidRPr="00606F75" w:rsidRDefault="00000000">
            <w:pPr>
              <w:rPr>
                <w:sz w:val="20"/>
                <w:szCs w:val="28"/>
              </w:rPr>
            </w:pPr>
            <w:r w:rsidRPr="00606F75">
              <w:rPr>
                <w:sz w:val="18"/>
                <w:szCs w:val="28"/>
              </w:rPr>
              <w:t>Rs 50,460</w:t>
            </w:r>
          </w:p>
        </w:tc>
        <w:tc>
          <w:tcPr>
            <w:tcW w:w="1742" w:type="dxa"/>
            <w:vAlign w:val="center"/>
          </w:tcPr>
          <w:p w14:paraId="767CB6A7" w14:textId="77777777" w:rsidR="002C7A9E" w:rsidRPr="00606F75" w:rsidRDefault="00000000">
            <w:pPr>
              <w:rPr>
                <w:sz w:val="20"/>
                <w:szCs w:val="28"/>
              </w:rPr>
            </w:pPr>
            <w:r w:rsidRPr="00606F75">
              <w:rPr>
                <w:sz w:val="18"/>
                <w:szCs w:val="28"/>
              </w:rPr>
              <w:t>Rs 53,274</w:t>
            </w:r>
          </w:p>
        </w:tc>
      </w:tr>
      <w:tr w:rsidR="002C7A9E" w:rsidRPr="00606F75" w14:paraId="6CF7AC33" w14:textId="77777777">
        <w:trPr>
          <w:jc w:val="center"/>
        </w:trPr>
        <w:tc>
          <w:tcPr>
            <w:tcW w:w="1742" w:type="dxa"/>
            <w:vAlign w:val="center"/>
          </w:tcPr>
          <w:p w14:paraId="7F53E5F7" w14:textId="77777777" w:rsidR="002C7A9E" w:rsidRPr="00606F75" w:rsidRDefault="00000000">
            <w:pPr>
              <w:rPr>
                <w:sz w:val="20"/>
                <w:szCs w:val="28"/>
              </w:rPr>
            </w:pPr>
            <w:r w:rsidRPr="00606F75">
              <w:rPr>
                <w:sz w:val="18"/>
                <w:szCs w:val="28"/>
              </w:rPr>
              <w:t>Gross Debt / EBITDA</w:t>
            </w:r>
          </w:p>
        </w:tc>
        <w:tc>
          <w:tcPr>
            <w:tcW w:w="1742" w:type="dxa"/>
            <w:vAlign w:val="center"/>
          </w:tcPr>
          <w:p w14:paraId="50AA2CC4" w14:textId="77777777" w:rsidR="002C7A9E" w:rsidRPr="00606F75" w:rsidRDefault="00000000">
            <w:pPr>
              <w:rPr>
                <w:sz w:val="20"/>
                <w:szCs w:val="28"/>
              </w:rPr>
            </w:pPr>
            <w:r w:rsidRPr="00606F75">
              <w:rPr>
                <w:sz w:val="18"/>
                <w:szCs w:val="28"/>
              </w:rPr>
              <w:t>2.28x</w:t>
            </w:r>
          </w:p>
        </w:tc>
        <w:tc>
          <w:tcPr>
            <w:tcW w:w="1742" w:type="dxa"/>
            <w:vAlign w:val="center"/>
          </w:tcPr>
          <w:p w14:paraId="2B8434BE" w14:textId="77777777" w:rsidR="002C7A9E" w:rsidRPr="00606F75" w:rsidRDefault="00000000">
            <w:pPr>
              <w:rPr>
                <w:sz w:val="20"/>
                <w:szCs w:val="28"/>
              </w:rPr>
            </w:pPr>
            <w:r w:rsidRPr="00606F75">
              <w:rPr>
                <w:sz w:val="18"/>
                <w:szCs w:val="28"/>
              </w:rPr>
              <w:t>2.04x</w:t>
            </w:r>
          </w:p>
        </w:tc>
        <w:tc>
          <w:tcPr>
            <w:tcW w:w="1742" w:type="dxa"/>
            <w:vAlign w:val="center"/>
          </w:tcPr>
          <w:p w14:paraId="09E83930" w14:textId="77777777" w:rsidR="002C7A9E" w:rsidRPr="00606F75" w:rsidRDefault="00000000">
            <w:pPr>
              <w:rPr>
                <w:sz w:val="20"/>
                <w:szCs w:val="28"/>
              </w:rPr>
            </w:pPr>
            <w:r w:rsidRPr="00606F75">
              <w:rPr>
                <w:sz w:val="18"/>
                <w:szCs w:val="28"/>
              </w:rPr>
              <w:t>1.82x</w:t>
            </w:r>
          </w:p>
        </w:tc>
        <w:tc>
          <w:tcPr>
            <w:tcW w:w="1742" w:type="dxa"/>
            <w:vAlign w:val="center"/>
          </w:tcPr>
          <w:p w14:paraId="2CE6A9F3" w14:textId="77777777" w:rsidR="002C7A9E" w:rsidRPr="00606F75" w:rsidRDefault="00000000">
            <w:pPr>
              <w:rPr>
                <w:sz w:val="20"/>
                <w:szCs w:val="28"/>
              </w:rPr>
            </w:pPr>
            <w:r w:rsidRPr="00606F75">
              <w:rPr>
                <w:sz w:val="18"/>
                <w:szCs w:val="28"/>
              </w:rPr>
              <w:t>1.56x</w:t>
            </w:r>
          </w:p>
        </w:tc>
        <w:tc>
          <w:tcPr>
            <w:tcW w:w="1742" w:type="dxa"/>
            <w:vAlign w:val="center"/>
          </w:tcPr>
          <w:p w14:paraId="28129C01" w14:textId="77777777" w:rsidR="002C7A9E" w:rsidRPr="00606F75" w:rsidRDefault="00000000">
            <w:pPr>
              <w:rPr>
                <w:sz w:val="20"/>
                <w:szCs w:val="28"/>
              </w:rPr>
            </w:pPr>
            <w:r w:rsidRPr="00606F75">
              <w:rPr>
                <w:sz w:val="18"/>
                <w:szCs w:val="28"/>
              </w:rPr>
              <w:t>1.32x</w:t>
            </w:r>
          </w:p>
        </w:tc>
      </w:tr>
      <w:tr w:rsidR="002C7A9E" w:rsidRPr="00606F75" w14:paraId="3DD2B6DB" w14:textId="77777777">
        <w:trPr>
          <w:jc w:val="center"/>
        </w:trPr>
        <w:tc>
          <w:tcPr>
            <w:tcW w:w="1742" w:type="dxa"/>
            <w:vAlign w:val="center"/>
          </w:tcPr>
          <w:p w14:paraId="7496188F" w14:textId="77777777" w:rsidR="002C7A9E" w:rsidRPr="00606F75" w:rsidRDefault="00000000">
            <w:pPr>
              <w:rPr>
                <w:sz w:val="20"/>
                <w:szCs w:val="28"/>
              </w:rPr>
            </w:pPr>
            <w:r w:rsidRPr="00606F75">
              <w:rPr>
                <w:sz w:val="18"/>
                <w:szCs w:val="28"/>
              </w:rPr>
              <w:t>Net Debt / EBITDA</w:t>
            </w:r>
          </w:p>
        </w:tc>
        <w:tc>
          <w:tcPr>
            <w:tcW w:w="1742" w:type="dxa"/>
            <w:vAlign w:val="center"/>
          </w:tcPr>
          <w:p w14:paraId="3D3925DA" w14:textId="77777777" w:rsidR="002C7A9E" w:rsidRPr="00606F75" w:rsidRDefault="00000000">
            <w:pPr>
              <w:rPr>
                <w:sz w:val="20"/>
                <w:szCs w:val="28"/>
              </w:rPr>
            </w:pPr>
            <w:r w:rsidRPr="00606F75">
              <w:rPr>
                <w:sz w:val="18"/>
                <w:szCs w:val="28"/>
              </w:rPr>
              <w:t>1.94x</w:t>
            </w:r>
          </w:p>
        </w:tc>
        <w:tc>
          <w:tcPr>
            <w:tcW w:w="1742" w:type="dxa"/>
            <w:vAlign w:val="center"/>
          </w:tcPr>
          <w:p w14:paraId="546DF86E" w14:textId="77777777" w:rsidR="002C7A9E" w:rsidRPr="00606F75" w:rsidRDefault="00000000">
            <w:pPr>
              <w:rPr>
                <w:sz w:val="20"/>
                <w:szCs w:val="28"/>
              </w:rPr>
            </w:pPr>
            <w:r w:rsidRPr="00606F75">
              <w:rPr>
                <w:sz w:val="18"/>
                <w:szCs w:val="28"/>
              </w:rPr>
              <w:t>1.69x</w:t>
            </w:r>
          </w:p>
        </w:tc>
        <w:tc>
          <w:tcPr>
            <w:tcW w:w="1742" w:type="dxa"/>
            <w:vAlign w:val="center"/>
          </w:tcPr>
          <w:p w14:paraId="19E084CE" w14:textId="77777777" w:rsidR="002C7A9E" w:rsidRPr="00606F75" w:rsidRDefault="00000000">
            <w:pPr>
              <w:rPr>
                <w:sz w:val="20"/>
                <w:szCs w:val="28"/>
              </w:rPr>
            </w:pPr>
            <w:r w:rsidRPr="00606F75">
              <w:rPr>
                <w:sz w:val="18"/>
                <w:szCs w:val="28"/>
              </w:rPr>
              <w:t>1.46x</w:t>
            </w:r>
          </w:p>
        </w:tc>
        <w:tc>
          <w:tcPr>
            <w:tcW w:w="1742" w:type="dxa"/>
            <w:vAlign w:val="center"/>
          </w:tcPr>
          <w:p w14:paraId="55539B71" w14:textId="77777777" w:rsidR="002C7A9E" w:rsidRPr="00606F75" w:rsidRDefault="00000000">
            <w:pPr>
              <w:rPr>
                <w:sz w:val="20"/>
                <w:szCs w:val="28"/>
              </w:rPr>
            </w:pPr>
            <w:r w:rsidRPr="00606F75">
              <w:rPr>
                <w:sz w:val="18"/>
                <w:szCs w:val="28"/>
              </w:rPr>
              <w:t>1.15x</w:t>
            </w:r>
          </w:p>
        </w:tc>
        <w:tc>
          <w:tcPr>
            <w:tcW w:w="1742" w:type="dxa"/>
            <w:vAlign w:val="center"/>
          </w:tcPr>
          <w:p w14:paraId="037F1845" w14:textId="77777777" w:rsidR="002C7A9E" w:rsidRPr="00606F75" w:rsidRDefault="00000000">
            <w:pPr>
              <w:rPr>
                <w:sz w:val="20"/>
                <w:szCs w:val="28"/>
              </w:rPr>
            </w:pPr>
            <w:r w:rsidRPr="00606F75">
              <w:rPr>
                <w:sz w:val="18"/>
                <w:szCs w:val="28"/>
              </w:rPr>
              <w:t>0.84x</w:t>
            </w:r>
          </w:p>
        </w:tc>
      </w:tr>
      <w:tr w:rsidR="002C7A9E" w:rsidRPr="00606F75" w14:paraId="413B678C" w14:textId="77777777">
        <w:trPr>
          <w:jc w:val="center"/>
        </w:trPr>
        <w:tc>
          <w:tcPr>
            <w:tcW w:w="1742" w:type="dxa"/>
            <w:vAlign w:val="center"/>
          </w:tcPr>
          <w:p w14:paraId="57BDB457" w14:textId="77777777" w:rsidR="002C7A9E" w:rsidRPr="00606F75" w:rsidRDefault="00000000">
            <w:pPr>
              <w:rPr>
                <w:sz w:val="20"/>
                <w:szCs w:val="28"/>
              </w:rPr>
            </w:pPr>
            <w:r w:rsidRPr="00606F75">
              <w:rPr>
                <w:sz w:val="18"/>
                <w:szCs w:val="28"/>
              </w:rPr>
              <w:t>EBIT / Cash Interest</w:t>
            </w:r>
          </w:p>
        </w:tc>
        <w:tc>
          <w:tcPr>
            <w:tcW w:w="1742" w:type="dxa"/>
            <w:vAlign w:val="center"/>
          </w:tcPr>
          <w:p w14:paraId="23BC6412" w14:textId="77777777" w:rsidR="002C7A9E" w:rsidRPr="00606F75" w:rsidRDefault="00000000">
            <w:pPr>
              <w:rPr>
                <w:sz w:val="20"/>
                <w:szCs w:val="28"/>
              </w:rPr>
            </w:pPr>
            <w:r w:rsidRPr="00606F75">
              <w:rPr>
                <w:sz w:val="18"/>
                <w:szCs w:val="28"/>
              </w:rPr>
              <w:t>3.46x</w:t>
            </w:r>
          </w:p>
        </w:tc>
        <w:tc>
          <w:tcPr>
            <w:tcW w:w="1742" w:type="dxa"/>
            <w:vAlign w:val="center"/>
          </w:tcPr>
          <w:p w14:paraId="0D57C0B0" w14:textId="77777777" w:rsidR="002C7A9E" w:rsidRPr="00606F75" w:rsidRDefault="00000000">
            <w:pPr>
              <w:rPr>
                <w:sz w:val="20"/>
                <w:szCs w:val="28"/>
              </w:rPr>
            </w:pPr>
            <w:r w:rsidRPr="00606F75">
              <w:rPr>
                <w:sz w:val="18"/>
                <w:szCs w:val="28"/>
              </w:rPr>
              <w:t>3.91x</w:t>
            </w:r>
          </w:p>
        </w:tc>
        <w:tc>
          <w:tcPr>
            <w:tcW w:w="1742" w:type="dxa"/>
            <w:vAlign w:val="center"/>
          </w:tcPr>
          <w:p w14:paraId="7A87D19D" w14:textId="77777777" w:rsidR="002C7A9E" w:rsidRPr="00606F75" w:rsidRDefault="00000000">
            <w:pPr>
              <w:rPr>
                <w:sz w:val="20"/>
                <w:szCs w:val="28"/>
              </w:rPr>
            </w:pPr>
            <w:r w:rsidRPr="00606F75">
              <w:rPr>
                <w:sz w:val="18"/>
                <w:szCs w:val="28"/>
              </w:rPr>
              <w:t>4.50x</w:t>
            </w:r>
          </w:p>
        </w:tc>
        <w:tc>
          <w:tcPr>
            <w:tcW w:w="1742" w:type="dxa"/>
            <w:vAlign w:val="center"/>
          </w:tcPr>
          <w:p w14:paraId="47815E49" w14:textId="77777777" w:rsidR="002C7A9E" w:rsidRPr="00606F75" w:rsidRDefault="00000000">
            <w:pPr>
              <w:rPr>
                <w:sz w:val="20"/>
                <w:szCs w:val="28"/>
              </w:rPr>
            </w:pPr>
            <w:r w:rsidRPr="00606F75">
              <w:rPr>
                <w:sz w:val="18"/>
                <w:szCs w:val="28"/>
              </w:rPr>
              <w:t>5.26x</w:t>
            </w:r>
          </w:p>
        </w:tc>
        <w:tc>
          <w:tcPr>
            <w:tcW w:w="1742" w:type="dxa"/>
            <w:vAlign w:val="center"/>
          </w:tcPr>
          <w:p w14:paraId="490ADFE0" w14:textId="77777777" w:rsidR="002C7A9E" w:rsidRPr="00606F75" w:rsidRDefault="00000000">
            <w:pPr>
              <w:rPr>
                <w:sz w:val="20"/>
                <w:szCs w:val="28"/>
              </w:rPr>
            </w:pPr>
            <w:r w:rsidRPr="00606F75">
              <w:rPr>
                <w:sz w:val="18"/>
                <w:szCs w:val="28"/>
              </w:rPr>
              <w:t>6.11x</w:t>
            </w:r>
          </w:p>
        </w:tc>
      </w:tr>
      <w:tr w:rsidR="002C7A9E" w:rsidRPr="00606F75" w14:paraId="5CE012C3" w14:textId="77777777">
        <w:trPr>
          <w:jc w:val="center"/>
        </w:trPr>
        <w:tc>
          <w:tcPr>
            <w:tcW w:w="1742" w:type="dxa"/>
            <w:vAlign w:val="center"/>
          </w:tcPr>
          <w:p w14:paraId="1F00312A" w14:textId="77777777" w:rsidR="002C7A9E" w:rsidRPr="00606F75" w:rsidRDefault="00000000">
            <w:pPr>
              <w:rPr>
                <w:sz w:val="20"/>
                <w:szCs w:val="28"/>
              </w:rPr>
            </w:pPr>
            <w:r w:rsidRPr="00606F75">
              <w:rPr>
                <w:sz w:val="18"/>
                <w:szCs w:val="28"/>
              </w:rPr>
              <w:t>Maintenance-basis DSCR</w:t>
            </w:r>
          </w:p>
        </w:tc>
        <w:tc>
          <w:tcPr>
            <w:tcW w:w="1742" w:type="dxa"/>
            <w:vAlign w:val="center"/>
          </w:tcPr>
          <w:p w14:paraId="656AE0C9" w14:textId="77777777" w:rsidR="002C7A9E" w:rsidRPr="00606F75" w:rsidRDefault="00000000">
            <w:pPr>
              <w:rPr>
                <w:sz w:val="20"/>
                <w:szCs w:val="28"/>
              </w:rPr>
            </w:pPr>
            <w:r w:rsidRPr="00606F75">
              <w:rPr>
                <w:sz w:val="18"/>
                <w:szCs w:val="28"/>
              </w:rPr>
              <w:t>1.75x</w:t>
            </w:r>
          </w:p>
        </w:tc>
        <w:tc>
          <w:tcPr>
            <w:tcW w:w="1742" w:type="dxa"/>
            <w:vAlign w:val="center"/>
          </w:tcPr>
          <w:p w14:paraId="503E78A1" w14:textId="77777777" w:rsidR="002C7A9E" w:rsidRPr="00606F75" w:rsidRDefault="00000000">
            <w:pPr>
              <w:rPr>
                <w:sz w:val="20"/>
                <w:szCs w:val="28"/>
              </w:rPr>
            </w:pPr>
            <w:r w:rsidRPr="00606F75">
              <w:rPr>
                <w:sz w:val="18"/>
                <w:szCs w:val="28"/>
              </w:rPr>
              <w:t>1.91x</w:t>
            </w:r>
          </w:p>
        </w:tc>
        <w:tc>
          <w:tcPr>
            <w:tcW w:w="1742" w:type="dxa"/>
            <w:vAlign w:val="center"/>
          </w:tcPr>
          <w:p w14:paraId="07A68AC3" w14:textId="77777777" w:rsidR="002C7A9E" w:rsidRPr="00606F75" w:rsidRDefault="00000000">
            <w:pPr>
              <w:rPr>
                <w:sz w:val="20"/>
                <w:szCs w:val="28"/>
              </w:rPr>
            </w:pPr>
            <w:r w:rsidRPr="00606F75">
              <w:rPr>
                <w:sz w:val="18"/>
                <w:szCs w:val="28"/>
              </w:rPr>
              <w:t>2.09x</w:t>
            </w:r>
          </w:p>
        </w:tc>
        <w:tc>
          <w:tcPr>
            <w:tcW w:w="1742" w:type="dxa"/>
            <w:vAlign w:val="center"/>
          </w:tcPr>
          <w:p w14:paraId="1B261F40" w14:textId="77777777" w:rsidR="002C7A9E" w:rsidRPr="00606F75" w:rsidRDefault="00000000">
            <w:pPr>
              <w:rPr>
                <w:sz w:val="20"/>
                <w:szCs w:val="28"/>
              </w:rPr>
            </w:pPr>
            <w:r w:rsidRPr="00606F75">
              <w:rPr>
                <w:sz w:val="18"/>
                <w:szCs w:val="28"/>
              </w:rPr>
              <w:t>2.34x</w:t>
            </w:r>
          </w:p>
        </w:tc>
        <w:tc>
          <w:tcPr>
            <w:tcW w:w="1742" w:type="dxa"/>
            <w:vAlign w:val="center"/>
          </w:tcPr>
          <w:p w14:paraId="2089ADDF" w14:textId="77777777" w:rsidR="002C7A9E" w:rsidRPr="00606F75" w:rsidRDefault="00000000">
            <w:pPr>
              <w:rPr>
                <w:sz w:val="20"/>
                <w:szCs w:val="28"/>
              </w:rPr>
            </w:pPr>
            <w:r w:rsidRPr="00606F75">
              <w:rPr>
                <w:sz w:val="18"/>
                <w:szCs w:val="28"/>
              </w:rPr>
              <w:t>2.62x</w:t>
            </w:r>
          </w:p>
        </w:tc>
      </w:tr>
      <w:tr w:rsidR="002C7A9E" w:rsidRPr="00606F75" w14:paraId="1378EDAC" w14:textId="77777777">
        <w:trPr>
          <w:jc w:val="center"/>
        </w:trPr>
        <w:tc>
          <w:tcPr>
            <w:tcW w:w="1742" w:type="dxa"/>
            <w:vAlign w:val="center"/>
          </w:tcPr>
          <w:p w14:paraId="1B3C9903" w14:textId="77777777" w:rsidR="002C7A9E" w:rsidRPr="00606F75" w:rsidRDefault="00000000">
            <w:pPr>
              <w:rPr>
                <w:sz w:val="20"/>
                <w:szCs w:val="28"/>
              </w:rPr>
            </w:pPr>
            <w:r w:rsidRPr="00606F75">
              <w:rPr>
                <w:sz w:val="18"/>
                <w:szCs w:val="28"/>
              </w:rPr>
              <w:t>Full-capex DSCR</w:t>
            </w:r>
          </w:p>
        </w:tc>
        <w:tc>
          <w:tcPr>
            <w:tcW w:w="1742" w:type="dxa"/>
            <w:vAlign w:val="center"/>
          </w:tcPr>
          <w:p w14:paraId="7EC6B737" w14:textId="77777777" w:rsidR="002C7A9E" w:rsidRPr="00606F75" w:rsidRDefault="00000000">
            <w:pPr>
              <w:rPr>
                <w:sz w:val="20"/>
                <w:szCs w:val="28"/>
              </w:rPr>
            </w:pPr>
            <w:r w:rsidRPr="00606F75">
              <w:rPr>
                <w:sz w:val="18"/>
                <w:szCs w:val="28"/>
              </w:rPr>
              <w:t>0.87x</w:t>
            </w:r>
          </w:p>
        </w:tc>
        <w:tc>
          <w:tcPr>
            <w:tcW w:w="1742" w:type="dxa"/>
            <w:vAlign w:val="center"/>
          </w:tcPr>
          <w:p w14:paraId="286FC2DA" w14:textId="77777777" w:rsidR="002C7A9E" w:rsidRPr="00606F75" w:rsidRDefault="00000000">
            <w:pPr>
              <w:rPr>
                <w:sz w:val="20"/>
                <w:szCs w:val="28"/>
              </w:rPr>
            </w:pPr>
            <w:r w:rsidRPr="00606F75">
              <w:rPr>
                <w:sz w:val="18"/>
                <w:szCs w:val="28"/>
              </w:rPr>
              <w:t>0.96x</w:t>
            </w:r>
          </w:p>
        </w:tc>
        <w:tc>
          <w:tcPr>
            <w:tcW w:w="1742" w:type="dxa"/>
            <w:vAlign w:val="center"/>
          </w:tcPr>
          <w:p w14:paraId="6292E110" w14:textId="77777777" w:rsidR="002C7A9E" w:rsidRPr="00606F75" w:rsidRDefault="00000000">
            <w:pPr>
              <w:rPr>
                <w:sz w:val="20"/>
                <w:szCs w:val="28"/>
              </w:rPr>
            </w:pPr>
            <w:r w:rsidRPr="00606F75">
              <w:rPr>
                <w:sz w:val="18"/>
                <w:szCs w:val="28"/>
              </w:rPr>
              <w:t>1.09x</w:t>
            </w:r>
          </w:p>
        </w:tc>
        <w:tc>
          <w:tcPr>
            <w:tcW w:w="1742" w:type="dxa"/>
            <w:vAlign w:val="center"/>
          </w:tcPr>
          <w:p w14:paraId="37D101AC" w14:textId="77777777" w:rsidR="002C7A9E" w:rsidRPr="00606F75" w:rsidRDefault="00000000">
            <w:pPr>
              <w:rPr>
                <w:sz w:val="20"/>
                <w:szCs w:val="28"/>
              </w:rPr>
            </w:pPr>
            <w:r w:rsidRPr="00606F75">
              <w:rPr>
                <w:sz w:val="18"/>
                <w:szCs w:val="28"/>
              </w:rPr>
              <w:t>1.56x</w:t>
            </w:r>
          </w:p>
        </w:tc>
        <w:tc>
          <w:tcPr>
            <w:tcW w:w="1742" w:type="dxa"/>
            <w:vAlign w:val="center"/>
          </w:tcPr>
          <w:p w14:paraId="6839FBAC" w14:textId="77777777" w:rsidR="002C7A9E" w:rsidRPr="00606F75" w:rsidRDefault="00000000">
            <w:pPr>
              <w:rPr>
                <w:sz w:val="20"/>
                <w:szCs w:val="28"/>
              </w:rPr>
            </w:pPr>
            <w:r w:rsidRPr="00606F75">
              <w:rPr>
                <w:sz w:val="18"/>
                <w:szCs w:val="28"/>
              </w:rPr>
              <w:t>1.97x</w:t>
            </w:r>
          </w:p>
        </w:tc>
      </w:tr>
    </w:tbl>
    <w:p w14:paraId="2142A073" w14:textId="77777777" w:rsidR="002C7A9E" w:rsidRPr="00606F75" w:rsidRDefault="00000000">
      <w:pPr>
        <w:spacing w:after="60" w:line="245" w:lineRule="auto"/>
        <w:rPr>
          <w:sz w:val="20"/>
          <w:szCs w:val="28"/>
        </w:rPr>
      </w:pPr>
      <w:r w:rsidRPr="00606F75">
        <w:rPr>
          <w:sz w:val="20"/>
          <w:szCs w:val="28"/>
        </w:rPr>
        <w:t>Maintenance-basis DSCR is the better measure of recurring debt-service capacity because strategic growth capex is not equivalent to sustaining capex. CFADS is therefore defined as operating cash flow before cash interest less maintenance capex. Debt service is cash interest plus an illustrative 10% of opening gross debt as scheduled principal, pending the actual contractual amortisation schedule.</w:t>
      </w:r>
    </w:p>
    <w:p w14:paraId="141221C3" w14:textId="77777777" w:rsidR="002C7A9E" w:rsidRPr="00606F75" w:rsidRDefault="00000000">
      <w:pPr>
        <w:spacing w:after="60" w:line="245" w:lineRule="auto"/>
        <w:rPr>
          <w:sz w:val="20"/>
          <w:szCs w:val="28"/>
        </w:rPr>
      </w:pPr>
      <w:r w:rsidRPr="00606F75">
        <w:rPr>
          <w:sz w:val="20"/>
          <w:szCs w:val="28"/>
        </w:rPr>
        <w:t>The full-capex DSCR is separately shown because it is critical for liquidity planning. It remains below 1.0x in FY2027-FY2028 and only modestly above 1.0x in FY2029, demonstrating that the expansion programme requires balance-sheet liquidity / external funding even though recurring credit metrics remain acceptable.</w:t>
      </w:r>
    </w:p>
    <w:p w14:paraId="16A60258" w14:textId="77777777" w:rsidR="002C7A9E" w:rsidRPr="00606F75" w:rsidRDefault="00000000">
      <w:pPr>
        <w:pStyle w:val="Heading2"/>
        <w:rPr>
          <w:sz w:val="24"/>
          <w:szCs w:val="32"/>
        </w:rPr>
      </w:pPr>
      <w:r w:rsidRPr="00606F75">
        <w:rPr>
          <w:sz w:val="24"/>
          <w:szCs w:val="32"/>
        </w:rPr>
        <w:t>FY2027 Stress Cases</w:t>
      </w:r>
    </w:p>
    <w:tbl>
      <w:tblPr>
        <w:tblStyle w:val="TableGrid"/>
        <w:tblW w:w="0" w:type="auto"/>
        <w:jc w:val="center"/>
        <w:tblLook w:val="04A0" w:firstRow="1" w:lastRow="0" w:firstColumn="1" w:lastColumn="0" w:noHBand="0" w:noVBand="1"/>
      </w:tblPr>
      <w:tblGrid>
        <w:gridCol w:w="1492"/>
        <w:gridCol w:w="1492"/>
        <w:gridCol w:w="1492"/>
        <w:gridCol w:w="1492"/>
        <w:gridCol w:w="1492"/>
        <w:gridCol w:w="1492"/>
        <w:gridCol w:w="1492"/>
      </w:tblGrid>
      <w:tr w:rsidR="002C7A9E" w:rsidRPr="00606F75" w14:paraId="154855A4" w14:textId="77777777">
        <w:trPr>
          <w:jc w:val="center"/>
        </w:trPr>
        <w:tc>
          <w:tcPr>
            <w:tcW w:w="1493" w:type="dxa"/>
            <w:shd w:val="clear" w:color="auto" w:fill="17365D"/>
            <w:vAlign w:val="center"/>
          </w:tcPr>
          <w:p w14:paraId="79B4AEE6" w14:textId="77777777" w:rsidR="002C7A9E" w:rsidRPr="00606F75" w:rsidRDefault="00000000">
            <w:pPr>
              <w:rPr>
                <w:sz w:val="20"/>
                <w:szCs w:val="28"/>
              </w:rPr>
            </w:pPr>
            <w:r w:rsidRPr="00606F75">
              <w:rPr>
                <w:b/>
                <w:color w:val="FFFFFF"/>
                <w:sz w:val="18"/>
                <w:szCs w:val="28"/>
              </w:rPr>
              <w:t>Scenario</w:t>
            </w:r>
          </w:p>
        </w:tc>
        <w:tc>
          <w:tcPr>
            <w:tcW w:w="1493" w:type="dxa"/>
            <w:shd w:val="clear" w:color="auto" w:fill="17365D"/>
            <w:vAlign w:val="center"/>
          </w:tcPr>
          <w:p w14:paraId="23A6B1F4" w14:textId="77777777" w:rsidR="002C7A9E" w:rsidRPr="00606F75" w:rsidRDefault="00000000">
            <w:pPr>
              <w:rPr>
                <w:sz w:val="20"/>
                <w:szCs w:val="28"/>
              </w:rPr>
            </w:pPr>
            <w:r w:rsidRPr="00606F75">
              <w:rPr>
                <w:b/>
                <w:color w:val="FFFFFF"/>
                <w:sz w:val="18"/>
                <w:szCs w:val="28"/>
              </w:rPr>
              <w:t>Revenue Shock</w:t>
            </w:r>
          </w:p>
        </w:tc>
        <w:tc>
          <w:tcPr>
            <w:tcW w:w="1493" w:type="dxa"/>
            <w:shd w:val="clear" w:color="auto" w:fill="17365D"/>
            <w:vAlign w:val="center"/>
          </w:tcPr>
          <w:p w14:paraId="4D05B5FB" w14:textId="77777777" w:rsidR="002C7A9E" w:rsidRPr="00606F75" w:rsidRDefault="00000000">
            <w:pPr>
              <w:rPr>
                <w:sz w:val="20"/>
                <w:szCs w:val="28"/>
              </w:rPr>
            </w:pPr>
            <w:r w:rsidRPr="00606F75">
              <w:rPr>
                <w:b/>
                <w:color w:val="FFFFFF"/>
                <w:sz w:val="18"/>
                <w:szCs w:val="28"/>
              </w:rPr>
              <w:t>EBITDA Margin</w:t>
            </w:r>
          </w:p>
        </w:tc>
        <w:tc>
          <w:tcPr>
            <w:tcW w:w="1493" w:type="dxa"/>
            <w:shd w:val="clear" w:color="auto" w:fill="17365D"/>
            <w:vAlign w:val="center"/>
          </w:tcPr>
          <w:p w14:paraId="6F233DF0" w14:textId="77777777" w:rsidR="002C7A9E" w:rsidRPr="00606F75" w:rsidRDefault="00000000">
            <w:pPr>
              <w:rPr>
                <w:sz w:val="20"/>
                <w:szCs w:val="28"/>
              </w:rPr>
            </w:pPr>
            <w:r w:rsidRPr="00606F75">
              <w:rPr>
                <w:b/>
                <w:color w:val="FFFFFF"/>
                <w:sz w:val="18"/>
                <w:szCs w:val="28"/>
              </w:rPr>
              <w:t>Capex</w:t>
            </w:r>
          </w:p>
        </w:tc>
        <w:tc>
          <w:tcPr>
            <w:tcW w:w="1493" w:type="dxa"/>
            <w:shd w:val="clear" w:color="auto" w:fill="17365D"/>
            <w:vAlign w:val="center"/>
          </w:tcPr>
          <w:p w14:paraId="360C25A3" w14:textId="77777777" w:rsidR="002C7A9E" w:rsidRPr="00606F75" w:rsidRDefault="00000000">
            <w:pPr>
              <w:rPr>
                <w:sz w:val="20"/>
                <w:szCs w:val="28"/>
              </w:rPr>
            </w:pPr>
            <w:r w:rsidRPr="00606F75">
              <w:rPr>
                <w:b/>
                <w:color w:val="FFFFFF"/>
                <w:sz w:val="18"/>
                <w:szCs w:val="28"/>
              </w:rPr>
              <w:t>Rate</w:t>
            </w:r>
          </w:p>
        </w:tc>
        <w:tc>
          <w:tcPr>
            <w:tcW w:w="1493" w:type="dxa"/>
            <w:shd w:val="clear" w:color="auto" w:fill="17365D"/>
            <w:vAlign w:val="center"/>
          </w:tcPr>
          <w:p w14:paraId="0B0CA507" w14:textId="77777777" w:rsidR="002C7A9E" w:rsidRPr="00606F75" w:rsidRDefault="00000000">
            <w:pPr>
              <w:rPr>
                <w:sz w:val="20"/>
                <w:szCs w:val="28"/>
              </w:rPr>
            </w:pPr>
            <w:r w:rsidRPr="00606F75">
              <w:rPr>
                <w:b/>
                <w:color w:val="FFFFFF"/>
                <w:sz w:val="18"/>
                <w:szCs w:val="28"/>
              </w:rPr>
              <w:t>Net Leverage</w:t>
            </w:r>
          </w:p>
        </w:tc>
        <w:tc>
          <w:tcPr>
            <w:tcW w:w="1493" w:type="dxa"/>
            <w:shd w:val="clear" w:color="auto" w:fill="17365D"/>
            <w:vAlign w:val="center"/>
          </w:tcPr>
          <w:p w14:paraId="7F23A39A" w14:textId="77777777" w:rsidR="002C7A9E" w:rsidRPr="00606F75" w:rsidRDefault="00000000">
            <w:pPr>
              <w:rPr>
                <w:sz w:val="20"/>
                <w:szCs w:val="28"/>
              </w:rPr>
            </w:pPr>
            <w:r w:rsidRPr="00606F75">
              <w:rPr>
                <w:b/>
                <w:color w:val="FFFFFF"/>
                <w:sz w:val="18"/>
                <w:szCs w:val="28"/>
              </w:rPr>
              <w:t>DSCR</w:t>
            </w:r>
          </w:p>
        </w:tc>
      </w:tr>
      <w:tr w:rsidR="002C7A9E" w:rsidRPr="00606F75" w14:paraId="27FD7B68" w14:textId="77777777">
        <w:trPr>
          <w:jc w:val="center"/>
        </w:trPr>
        <w:tc>
          <w:tcPr>
            <w:tcW w:w="1493" w:type="dxa"/>
            <w:vAlign w:val="center"/>
          </w:tcPr>
          <w:p w14:paraId="130A3073" w14:textId="77777777" w:rsidR="002C7A9E" w:rsidRPr="00606F75" w:rsidRDefault="00000000">
            <w:pPr>
              <w:rPr>
                <w:sz w:val="20"/>
                <w:szCs w:val="28"/>
              </w:rPr>
            </w:pPr>
            <w:r w:rsidRPr="00606F75">
              <w:rPr>
                <w:sz w:val="18"/>
                <w:szCs w:val="28"/>
              </w:rPr>
              <w:t>Base</w:t>
            </w:r>
          </w:p>
        </w:tc>
        <w:tc>
          <w:tcPr>
            <w:tcW w:w="1493" w:type="dxa"/>
            <w:vAlign w:val="center"/>
          </w:tcPr>
          <w:p w14:paraId="08F16447" w14:textId="77777777" w:rsidR="002C7A9E" w:rsidRPr="00606F75" w:rsidRDefault="00000000">
            <w:pPr>
              <w:rPr>
                <w:sz w:val="20"/>
                <w:szCs w:val="28"/>
              </w:rPr>
            </w:pPr>
            <w:r w:rsidRPr="00606F75">
              <w:rPr>
                <w:sz w:val="18"/>
                <w:szCs w:val="28"/>
              </w:rPr>
              <w:t>0%</w:t>
            </w:r>
          </w:p>
        </w:tc>
        <w:tc>
          <w:tcPr>
            <w:tcW w:w="1493" w:type="dxa"/>
            <w:vAlign w:val="center"/>
          </w:tcPr>
          <w:p w14:paraId="2FA0A99F" w14:textId="77777777" w:rsidR="002C7A9E" w:rsidRPr="00606F75" w:rsidRDefault="00000000">
            <w:pPr>
              <w:rPr>
                <w:sz w:val="20"/>
                <w:szCs w:val="28"/>
              </w:rPr>
            </w:pPr>
            <w:r w:rsidRPr="00606F75">
              <w:rPr>
                <w:sz w:val="18"/>
                <w:szCs w:val="28"/>
              </w:rPr>
              <w:t>15.5%</w:t>
            </w:r>
          </w:p>
        </w:tc>
        <w:tc>
          <w:tcPr>
            <w:tcW w:w="1493" w:type="dxa"/>
            <w:vAlign w:val="center"/>
          </w:tcPr>
          <w:p w14:paraId="41980A95" w14:textId="77777777" w:rsidR="002C7A9E" w:rsidRPr="00606F75" w:rsidRDefault="00000000">
            <w:pPr>
              <w:rPr>
                <w:sz w:val="20"/>
                <w:szCs w:val="28"/>
              </w:rPr>
            </w:pPr>
            <w:r w:rsidRPr="00606F75">
              <w:rPr>
                <w:sz w:val="18"/>
                <w:szCs w:val="28"/>
              </w:rPr>
              <w:t>1.00x</w:t>
            </w:r>
          </w:p>
        </w:tc>
        <w:tc>
          <w:tcPr>
            <w:tcW w:w="1493" w:type="dxa"/>
            <w:vAlign w:val="center"/>
          </w:tcPr>
          <w:p w14:paraId="00DADD76" w14:textId="77777777" w:rsidR="002C7A9E" w:rsidRPr="00606F75" w:rsidRDefault="00000000">
            <w:pPr>
              <w:rPr>
                <w:sz w:val="20"/>
                <w:szCs w:val="28"/>
              </w:rPr>
            </w:pPr>
            <w:r w:rsidRPr="00606F75">
              <w:rPr>
                <w:sz w:val="18"/>
                <w:szCs w:val="28"/>
              </w:rPr>
              <w:t>8.24%</w:t>
            </w:r>
          </w:p>
        </w:tc>
        <w:tc>
          <w:tcPr>
            <w:tcW w:w="1493" w:type="dxa"/>
            <w:vAlign w:val="center"/>
          </w:tcPr>
          <w:p w14:paraId="676E977C" w14:textId="77777777" w:rsidR="002C7A9E" w:rsidRPr="00606F75" w:rsidRDefault="00000000">
            <w:pPr>
              <w:rPr>
                <w:sz w:val="20"/>
                <w:szCs w:val="28"/>
              </w:rPr>
            </w:pPr>
            <w:r w:rsidRPr="00606F75">
              <w:rPr>
                <w:sz w:val="18"/>
                <w:szCs w:val="28"/>
              </w:rPr>
              <w:t>2.21x</w:t>
            </w:r>
          </w:p>
        </w:tc>
        <w:tc>
          <w:tcPr>
            <w:tcW w:w="1493" w:type="dxa"/>
            <w:vAlign w:val="center"/>
          </w:tcPr>
          <w:p w14:paraId="18B662EA" w14:textId="77777777" w:rsidR="002C7A9E" w:rsidRPr="00606F75" w:rsidRDefault="00000000">
            <w:pPr>
              <w:rPr>
                <w:sz w:val="20"/>
                <w:szCs w:val="28"/>
              </w:rPr>
            </w:pPr>
            <w:r w:rsidRPr="00606F75">
              <w:rPr>
                <w:sz w:val="18"/>
                <w:szCs w:val="28"/>
              </w:rPr>
              <w:t>1.65x</w:t>
            </w:r>
          </w:p>
        </w:tc>
      </w:tr>
      <w:tr w:rsidR="002C7A9E" w:rsidRPr="00606F75" w14:paraId="028BFD1D" w14:textId="77777777">
        <w:trPr>
          <w:jc w:val="center"/>
        </w:trPr>
        <w:tc>
          <w:tcPr>
            <w:tcW w:w="1493" w:type="dxa"/>
            <w:vAlign w:val="center"/>
          </w:tcPr>
          <w:p w14:paraId="42741ACD" w14:textId="77777777" w:rsidR="002C7A9E" w:rsidRPr="00606F75" w:rsidRDefault="00000000">
            <w:pPr>
              <w:rPr>
                <w:sz w:val="20"/>
                <w:szCs w:val="28"/>
              </w:rPr>
            </w:pPr>
            <w:r w:rsidRPr="00606F75">
              <w:rPr>
                <w:sz w:val="18"/>
                <w:szCs w:val="28"/>
              </w:rPr>
              <w:t>Severe Recession</w:t>
            </w:r>
          </w:p>
        </w:tc>
        <w:tc>
          <w:tcPr>
            <w:tcW w:w="1493" w:type="dxa"/>
            <w:vAlign w:val="center"/>
          </w:tcPr>
          <w:p w14:paraId="7B34F207" w14:textId="77777777" w:rsidR="002C7A9E" w:rsidRPr="00606F75" w:rsidRDefault="00000000">
            <w:pPr>
              <w:rPr>
                <w:sz w:val="20"/>
                <w:szCs w:val="28"/>
              </w:rPr>
            </w:pPr>
            <w:r w:rsidRPr="00606F75">
              <w:rPr>
                <w:sz w:val="18"/>
                <w:szCs w:val="28"/>
              </w:rPr>
              <w:t>(12%)</w:t>
            </w:r>
          </w:p>
        </w:tc>
        <w:tc>
          <w:tcPr>
            <w:tcW w:w="1493" w:type="dxa"/>
            <w:vAlign w:val="center"/>
          </w:tcPr>
          <w:p w14:paraId="3935E24A" w14:textId="77777777" w:rsidR="002C7A9E" w:rsidRPr="00606F75" w:rsidRDefault="00000000">
            <w:pPr>
              <w:rPr>
                <w:sz w:val="20"/>
                <w:szCs w:val="28"/>
              </w:rPr>
            </w:pPr>
            <w:r w:rsidRPr="00606F75">
              <w:rPr>
                <w:sz w:val="18"/>
                <w:szCs w:val="28"/>
              </w:rPr>
              <w:t>12.0%</w:t>
            </w:r>
          </w:p>
        </w:tc>
        <w:tc>
          <w:tcPr>
            <w:tcW w:w="1493" w:type="dxa"/>
            <w:vAlign w:val="center"/>
          </w:tcPr>
          <w:p w14:paraId="63371283" w14:textId="77777777" w:rsidR="002C7A9E" w:rsidRPr="00606F75" w:rsidRDefault="00000000">
            <w:pPr>
              <w:rPr>
                <w:sz w:val="20"/>
                <w:szCs w:val="28"/>
              </w:rPr>
            </w:pPr>
            <w:r w:rsidRPr="00606F75">
              <w:rPr>
                <w:sz w:val="18"/>
                <w:szCs w:val="28"/>
              </w:rPr>
              <w:t>1.15x</w:t>
            </w:r>
          </w:p>
        </w:tc>
        <w:tc>
          <w:tcPr>
            <w:tcW w:w="1493" w:type="dxa"/>
            <w:vAlign w:val="center"/>
          </w:tcPr>
          <w:p w14:paraId="52CE1F6E" w14:textId="77777777" w:rsidR="002C7A9E" w:rsidRPr="00606F75" w:rsidRDefault="00000000">
            <w:pPr>
              <w:rPr>
                <w:sz w:val="20"/>
                <w:szCs w:val="28"/>
              </w:rPr>
            </w:pPr>
            <w:r w:rsidRPr="00606F75">
              <w:rPr>
                <w:sz w:val="18"/>
                <w:szCs w:val="28"/>
              </w:rPr>
              <w:t>10.0%</w:t>
            </w:r>
          </w:p>
        </w:tc>
        <w:tc>
          <w:tcPr>
            <w:tcW w:w="1493" w:type="dxa"/>
            <w:vAlign w:val="center"/>
          </w:tcPr>
          <w:p w14:paraId="489891C2" w14:textId="77777777" w:rsidR="002C7A9E" w:rsidRPr="00606F75" w:rsidRDefault="00000000">
            <w:pPr>
              <w:rPr>
                <w:sz w:val="20"/>
                <w:szCs w:val="28"/>
              </w:rPr>
            </w:pPr>
            <w:r w:rsidRPr="00606F75">
              <w:rPr>
                <w:sz w:val="18"/>
                <w:szCs w:val="28"/>
              </w:rPr>
              <w:t>3.69x</w:t>
            </w:r>
          </w:p>
        </w:tc>
        <w:tc>
          <w:tcPr>
            <w:tcW w:w="1493" w:type="dxa"/>
            <w:vAlign w:val="center"/>
          </w:tcPr>
          <w:p w14:paraId="201C8E4E" w14:textId="77777777" w:rsidR="002C7A9E" w:rsidRPr="00606F75" w:rsidRDefault="00000000">
            <w:pPr>
              <w:rPr>
                <w:sz w:val="20"/>
                <w:szCs w:val="28"/>
              </w:rPr>
            </w:pPr>
            <w:r w:rsidRPr="00606F75">
              <w:rPr>
                <w:sz w:val="18"/>
                <w:szCs w:val="28"/>
              </w:rPr>
              <w:t>0.77x</w:t>
            </w:r>
          </w:p>
        </w:tc>
      </w:tr>
      <w:tr w:rsidR="002C7A9E" w:rsidRPr="00606F75" w14:paraId="355CBC06" w14:textId="77777777">
        <w:trPr>
          <w:jc w:val="center"/>
        </w:trPr>
        <w:tc>
          <w:tcPr>
            <w:tcW w:w="1493" w:type="dxa"/>
            <w:vAlign w:val="center"/>
          </w:tcPr>
          <w:p w14:paraId="4F79EC8B" w14:textId="77777777" w:rsidR="002C7A9E" w:rsidRPr="00606F75" w:rsidRDefault="00000000">
            <w:pPr>
              <w:rPr>
                <w:sz w:val="20"/>
                <w:szCs w:val="28"/>
              </w:rPr>
            </w:pPr>
            <w:r w:rsidRPr="00606F75">
              <w:rPr>
                <w:sz w:val="18"/>
                <w:szCs w:val="28"/>
              </w:rPr>
              <w:t>Liquidity Stress</w:t>
            </w:r>
          </w:p>
        </w:tc>
        <w:tc>
          <w:tcPr>
            <w:tcW w:w="1493" w:type="dxa"/>
            <w:vAlign w:val="center"/>
          </w:tcPr>
          <w:p w14:paraId="13747462" w14:textId="77777777" w:rsidR="002C7A9E" w:rsidRPr="00606F75" w:rsidRDefault="00000000">
            <w:pPr>
              <w:rPr>
                <w:sz w:val="20"/>
                <w:szCs w:val="28"/>
              </w:rPr>
            </w:pPr>
            <w:r w:rsidRPr="00606F75">
              <w:rPr>
                <w:sz w:val="18"/>
                <w:szCs w:val="28"/>
              </w:rPr>
              <w:t>(5%)</w:t>
            </w:r>
          </w:p>
        </w:tc>
        <w:tc>
          <w:tcPr>
            <w:tcW w:w="1493" w:type="dxa"/>
            <w:vAlign w:val="center"/>
          </w:tcPr>
          <w:p w14:paraId="75A17C96" w14:textId="77777777" w:rsidR="002C7A9E" w:rsidRPr="00606F75" w:rsidRDefault="00000000">
            <w:pPr>
              <w:rPr>
                <w:sz w:val="20"/>
                <w:szCs w:val="28"/>
              </w:rPr>
            </w:pPr>
            <w:r w:rsidRPr="00606F75">
              <w:rPr>
                <w:sz w:val="18"/>
                <w:szCs w:val="28"/>
              </w:rPr>
              <w:t>13.5%</w:t>
            </w:r>
          </w:p>
        </w:tc>
        <w:tc>
          <w:tcPr>
            <w:tcW w:w="1493" w:type="dxa"/>
            <w:vAlign w:val="center"/>
          </w:tcPr>
          <w:p w14:paraId="4F356E0B" w14:textId="77777777" w:rsidR="002C7A9E" w:rsidRPr="00606F75" w:rsidRDefault="00000000">
            <w:pPr>
              <w:rPr>
                <w:sz w:val="20"/>
                <w:szCs w:val="28"/>
              </w:rPr>
            </w:pPr>
            <w:r w:rsidRPr="00606F75">
              <w:rPr>
                <w:sz w:val="18"/>
                <w:szCs w:val="28"/>
              </w:rPr>
              <w:t>1.25x</w:t>
            </w:r>
          </w:p>
        </w:tc>
        <w:tc>
          <w:tcPr>
            <w:tcW w:w="1493" w:type="dxa"/>
            <w:vAlign w:val="center"/>
          </w:tcPr>
          <w:p w14:paraId="4FCB7709" w14:textId="77777777" w:rsidR="002C7A9E" w:rsidRPr="00606F75" w:rsidRDefault="00000000">
            <w:pPr>
              <w:rPr>
                <w:sz w:val="20"/>
                <w:szCs w:val="28"/>
              </w:rPr>
            </w:pPr>
            <w:r w:rsidRPr="00606F75">
              <w:rPr>
                <w:sz w:val="18"/>
                <w:szCs w:val="28"/>
              </w:rPr>
              <w:t>10.5%</w:t>
            </w:r>
          </w:p>
        </w:tc>
        <w:tc>
          <w:tcPr>
            <w:tcW w:w="1493" w:type="dxa"/>
            <w:vAlign w:val="center"/>
          </w:tcPr>
          <w:p w14:paraId="4BA26258" w14:textId="77777777" w:rsidR="002C7A9E" w:rsidRPr="00606F75" w:rsidRDefault="00000000">
            <w:pPr>
              <w:rPr>
                <w:sz w:val="20"/>
                <w:szCs w:val="28"/>
              </w:rPr>
            </w:pPr>
            <w:r w:rsidRPr="00606F75">
              <w:rPr>
                <w:sz w:val="18"/>
                <w:szCs w:val="28"/>
              </w:rPr>
              <w:t>3.08x</w:t>
            </w:r>
          </w:p>
        </w:tc>
        <w:tc>
          <w:tcPr>
            <w:tcW w:w="1493" w:type="dxa"/>
            <w:vAlign w:val="center"/>
          </w:tcPr>
          <w:p w14:paraId="2FA3AE26" w14:textId="77777777" w:rsidR="002C7A9E" w:rsidRPr="00606F75" w:rsidRDefault="00000000">
            <w:pPr>
              <w:rPr>
                <w:sz w:val="20"/>
                <w:szCs w:val="28"/>
              </w:rPr>
            </w:pPr>
            <w:r w:rsidRPr="00606F75">
              <w:rPr>
                <w:sz w:val="18"/>
                <w:szCs w:val="28"/>
              </w:rPr>
              <w:t>0.80x</w:t>
            </w:r>
          </w:p>
        </w:tc>
      </w:tr>
    </w:tbl>
    <w:p w14:paraId="41A61250" w14:textId="77777777" w:rsidR="002C7A9E" w:rsidRPr="00606F75" w:rsidRDefault="00000000">
      <w:pPr>
        <w:spacing w:after="60" w:line="245" w:lineRule="auto"/>
        <w:rPr>
          <w:sz w:val="20"/>
          <w:szCs w:val="28"/>
        </w:rPr>
      </w:pPr>
      <w:r w:rsidRPr="00606F75">
        <w:rPr>
          <w:sz w:val="20"/>
          <w:szCs w:val="28"/>
        </w:rPr>
        <w:t>Base stress bridge: the model remains above the recommended 1.50x DSCR covenant, albeit with limited excess coverage once scheduled principal is considered.</w:t>
      </w:r>
    </w:p>
    <w:p w14:paraId="1B1962A1" w14:textId="77777777" w:rsidR="002C7A9E" w:rsidRPr="00606F75" w:rsidRDefault="00000000">
      <w:pPr>
        <w:spacing w:after="60" w:line="245" w:lineRule="auto"/>
        <w:rPr>
          <w:sz w:val="20"/>
          <w:szCs w:val="28"/>
        </w:rPr>
      </w:pPr>
      <w:r w:rsidRPr="00606F75">
        <w:rPr>
          <w:sz w:val="20"/>
          <w:szCs w:val="28"/>
        </w:rPr>
        <w:t>Severe recession: lower revenue, 12.0% EBITDA margin, Rs 5,000 crore working-capital outflow and 15% capex overrun drive both a leverage covenant breach and DSCR below 1.0x. The likely lender response would be capex deferral, liquidity draw, reduced distributions and tighter debt incurrence.</w:t>
      </w:r>
    </w:p>
    <w:p w14:paraId="37E96C9E" w14:textId="77777777" w:rsidR="002C7A9E" w:rsidRPr="00606F75" w:rsidRDefault="00000000">
      <w:pPr>
        <w:spacing w:after="60" w:line="245" w:lineRule="auto"/>
        <w:rPr>
          <w:sz w:val="20"/>
          <w:szCs w:val="28"/>
        </w:rPr>
      </w:pPr>
      <w:r w:rsidRPr="00606F75">
        <w:rPr>
          <w:sz w:val="20"/>
          <w:szCs w:val="28"/>
        </w:rPr>
        <w:t>Liquidity stress: EBITDA remains positive, but a larger working-capital outflow, 25% capex overrun and higher cash interest cause DSCR to fall below 1.0x. This scenario demonstrates why committed liquidity and maturity concentration matter more than EBITDA alone.</w:t>
      </w:r>
    </w:p>
    <w:p w14:paraId="10F8B0BC" w14:textId="77777777" w:rsidR="002C7A9E" w:rsidRPr="00606F75" w:rsidRDefault="00000000">
      <w:pPr>
        <w:pStyle w:val="Heading2"/>
        <w:rPr>
          <w:sz w:val="24"/>
          <w:szCs w:val="32"/>
        </w:rPr>
      </w:pPr>
      <w:r w:rsidRPr="00606F75">
        <w:rPr>
          <w:sz w:val="24"/>
          <w:szCs w:val="32"/>
        </w:rPr>
        <w:t>Key Breakpoints</w:t>
      </w:r>
    </w:p>
    <w:p w14:paraId="2FA0CCC7" w14:textId="77777777" w:rsidR="002C7A9E" w:rsidRPr="00606F75" w:rsidRDefault="00000000">
      <w:pPr>
        <w:pStyle w:val="ListBullet"/>
        <w:spacing w:after="30" w:line="240" w:lineRule="auto"/>
        <w:rPr>
          <w:sz w:val="20"/>
          <w:szCs w:val="28"/>
        </w:rPr>
      </w:pPr>
      <w:r w:rsidRPr="00606F75">
        <w:rPr>
          <w:sz w:val="20"/>
          <w:szCs w:val="28"/>
        </w:rPr>
        <w:t>Cash coverage is the first binding credit constraint in the severe recession case.</w:t>
      </w:r>
    </w:p>
    <w:p w14:paraId="46DCB5C6" w14:textId="77777777" w:rsidR="002C7A9E" w:rsidRPr="00606F75" w:rsidRDefault="00000000">
      <w:pPr>
        <w:pStyle w:val="ListBullet"/>
        <w:spacing w:after="30" w:line="240" w:lineRule="auto"/>
        <w:rPr>
          <w:sz w:val="20"/>
          <w:szCs w:val="28"/>
        </w:rPr>
      </w:pPr>
      <w:r w:rsidRPr="00606F75">
        <w:rPr>
          <w:sz w:val="20"/>
          <w:szCs w:val="28"/>
        </w:rPr>
        <w:t>The recommended 3.50x Net Debt / EBITDA ceiling is breached only in the severe recession case, providing useful but not excessive cyclical headroom.</w:t>
      </w:r>
    </w:p>
    <w:p w14:paraId="1C3651B6" w14:textId="77777777" w:rsidR="002C7A9E" w:rsidRPr="00606F75" w:rsidRDefault="00000000">
      <w:pPr>
        <w:pStyle w:val="ListBullet"/>
        <w:spacing w:after="30" w:line="240" w:lineRule="auto"/>
        <w:rPr>
          <w:sz w:val="20"/>
          <w:szCs w:val="28"/>
        </w:rPr>
      </w:pPr>
      <w:r w:rsidRPr="00606F75">
        <w:rPr>
          <w:sz w:val="20"/>
          <w:szCs w:val="28"/>
        </w:rPr>
        <w:t>Expansion capex is the largest discretionary lever available to preserve liquidity if operating spreads deteriorate.</w:t>
      </w:r>
    </w:p>
    <w:p w14:paraId="6AE9725B" w14:textId="77777777" w:rsidR="002C7A9E" w:rsidRPr="00606F75" w:rsidRDefault="00000000">
      <w:pPr>
        <w:pStyle w:val="ListBullet"/>
        <w:spacing w:after="30" w:line="240" w:lineRule="auto"/>
        <w:rPr>
          <w:sz w:val="20"/>
          <w:szCs w:val="28"/>
        </w:rPr>
      </w:pPr>
      <w:r w:rsidRPr="00606F75">
        <w:rPr>
          <w:sz w:val="20"/>
          <w:szCs w:val="28"/>
        </w:rPr>
        <w:t>A final underwriting must replace the 10% principal-amortisation proxy with the contractual debt maturity ladder.</w:t>
      </w:r>
    </w:p>
    <w:p w14:paraId="18D4F297" w14:textId="77777777" w:rsidR="002C7A9E" w:rsidRPr="00606F75" w:rsidRDefault="00000000">
      <w:pPr>
        <w:rPr>
          <w:sz w:val="20"/>
          <w:szCs w:val="28"/>
        </w:rPr>
      </w:pPr>
      <w:r w:rsidRPr="00606F75">
        <w:rPr>
          <w:sz w:val="20"/>
          <w:szCs w:val="28"/>
        </w:rPr>
        <w:br w:type="page"/>
      </w:r>
    </w:p>
    <w:p w14:paraId="3C6B4321" w14:textId="77777777" w:rsidR="002C7A9E" w:rsidRPr="00606F75" w:rsidRDefault="00000000">
      <w:pPr>
        <w:pStyle w:val="Heading1"/>
        <w:rPr>
          <w:sz w:val="32"/>
          <w:szCs w:val="36"/>
        </w:rPr>
      </w:pPr>
      <w:r w:rsidRPr="00606F75">
        <w:rPr>
          <w:sz w:val="32"/>
          <w:szCs w:val="36"/>
        </w:rPr>
        <w:lastRenderedPageBreak/>
        <w:t>4. Covenant Framework, Conditions &amp; Recommendation</w:t>
      </w:r>
    </w:p>
    <w:p w14:paraId="79FB0C45" w14:textId="77777777" w:rsidR="002C7A9E" w:rsidRPr="00606F75" w:rsidRDefault="00000000">
      <w:pPr>
        <w:pStyle w:val="Heading2"/>
        <w:rPr>
          <w:sz w:val="24"/>
          <w:szCs w:val="32"/>
        </w:rPr>
      </w:pPr>
      <w:r w:rsidRPr="00606F75">
        <w:rPr>
          <w:sz w:val="24"/>
          <w:szCs w:val="32"/>
        </w:rPr>
        <w:t>Recommended Financial Covenants</w:t>
      </w:r>
    </w:p>
    <w:tbl>
      <w:tblPr>
        <w:tblStyle w:val="TableGrid"/>
        <w:tblW w:w="0" w:type="auto"/>
        <w:jc w:val="center"/>
        <w:tblLook w:val="04A0" w:firstRow="1" w:lastRow="0" w:firstColumn="1" w:lastColumn="0" w:noHBand="0" w:noVBand="1"/>
      </w:tblPr>
      <w:tblGrid>
        <w:gridCol w:w="3481"/>
        <w:gridCol w:w="3482"/>
        <w:gridCol w:w="3481"/>
      </w:tblGrid>
      <w:tr w:rsidR="002C7A9E" w:rsidRPr="00606F75" w14:paraId="0908399A" w14:textId="77777777">
        <w:trPr>
          <w:jc w:val="center"/>
        </w:trPr>
        <w:tc>
          <w:tcPr>
            <w:tcW w:w="3485" w:type="dxa"/>
            <w:shd w:val="clear" w:color="auto" w:fill="17365D"/>
            <w:vAlign w:val="center"/>
          </w:tcPr>
          <w:p w14:paraId="2F12B79E" w14:textId="77777777" w:rsidR="002C7A9E" w:rsidRPr="00606F75" w:rsidRDefault="00000000">
            <w:pPr>
              <w:rPr>
                <w:sz w:val="20"/>
                <w:szCs w:val="28"/>
              </w:rPr>
            </w:pPr>
            <w:r w:rsidRPr="00606F75">
              <w:rPr>
                <w:b/>
                <w:color w:val="FFFFFF"/>
                <w:sz w:val="18"/>
                <w:szCs w:val="28"/>
              </w:rPr>
              <w:t>Covenant</w:t>
            </w:r>
          </w:p>
        </w:tc>
        <w:tc>
          <w:tcPr>
            <w:tcW w:w="3485" w:type="dxa"/>
            <w:shd w:val="clear" w:color="auto" w:fill="17365D"/>
            <w:vAlign w:val="center"/>
          </w:tcPr>
          <w:p w14:paraId="7C1AE84F" w14:textId="77777777" w:rsidR="002C7A9E" w:rsidRPr="00606F75" w:rsidRDefault="00000000">
            <w:pPr>
              <w:rPr>
                <w:sz w:val="20"/>
                <w:szCs w:val="28"/>
              </w:rPr>
            </w:pPr>
            <w:r w:rsidRPr="00606F75">
              <w:rPr>
                <w:b/>
                <w:color w:val="FFFFFF"/>
                <w:sz w:val="18"/>
                <w:szCs w:val="28"/>
              </w:rPr>
              <w:t>Recommended Level</w:t>
            </w:r>
          </w:p>
        </w:tc>
        <w:tc>
          <w:tcPr>
            <w:tcW w:w="3485" w:type="dxa"/>
            <w:shd w:val="clear" w:color="auto" w:fill="17365D"/>
            <w:vAlign w:val="center"/>
          </w:tcPr>
          <w:p w14:paraId="2F4F1C95" w14:textId="77777777" w:rsidR="002C7A9E" w:rsidRPr="00606F75" w:rsidRDefault="00000000">
            <w:pPr>
              <w:rPr>
                <w:sz w:val="20"/>
                <w:szCs w:val="28"/>
              </w:rPr>
            </w:pPr>
            <w:r w:rsidRPr="00606F75">
              <w:rPr>
                <w:b/>
                <w:color w:val="FFFFFF"/>
                <w:sz w:val="18"/>
                <w:szCs w:val="28"/>
              </w:rPr>
              <w:t>Credit Rationale</w:t>
            </w:r>
          </w:p>
        </w:tc>
      </w:tr>
      <w:tr w:rsidR="002C7A9E" w:rsidRPr="00606F75" w14:paraId="27ED1AC3" w14:textId="77777777">
        <w:trPr>
          <w:jc w:val="center"/>
        </w:trPr>
        <w:tc>
          <w:tcPr>
            <w:tcW w:w="3485" w:type="dxa"/>
            <w:vAlign w:val="center"/>
          </w:tcPr>
          <w:p w14:paraId="1B9688A3" w14:textId="77777777" w:rsidR="002C7A9E" w:rsidRPr="00606F75" w:rsidRDefault="00000000">
            <w:pPr>
              <w:rPr>
                <w:sz w:val="20"/>
                <w:szCs w:val="28"/>
              </w:rPr>
            </w:pPr>
            <w:r w:rsidRPr="00606F75">
              <w:rPr>
                <w:sz w:val="18"/>
                <w:szCs w:val="28"/>
              </w:rPr>
              <w:t>Maximum Net Debt / EBITDA</w:t>
            </w:r>
          </w:p>
        </w:tc>
        <w:tc>
          <w:tcPr>
            <w:tcW w:w="3485" w:type="dxa"/>
            <w:vAlign w:val="center"/>
          </w:tcPr>
          <w:p w14:paraId="790497D3" w14:textId="77777777" w:rsidR="002C7A9E" w:rsidRPr="00606F75" w:rsidRDefault="00000000">
            <w:pPr>
              <w:rPr>
                <w:sz w:val="20"/>
                <w:szCs w:val="28"/>
              </w:rPr>
            </w:pPr>
            <w:r w:rsidRPr="00606F75">
              <w:rPr>
                <w:sz w:val="18"/>
                <w:szCs w:val="28"/>
              </w:rPr>
              <w:t>3.50x</w:t>
            </w:r>
          </w:p>
        </w:tc>
        <w:tc>
          <w:tcPr>
            <w:tcW w:w="3485" w:type="dxa"/>
            <w:vAlign w:val="center"/>
          </w:tcPr>
          <w:p w14:paraId="404165D9" w14:textId="77777777" w:rsidR="002C7A9E" w:rsidRPr="00606F75" w:rsidRDefault="00000000">
            <w:pPr>
              <w:rPr>
                <w:sz w:val="20"/>
                <w:szCs w:val="28"/>
              </w:rPr>
            </w:pPr>
            <w:r w:rsidRPr="00606F75">
              <w:rPr>
                <w:sz w:val="18"/>
                <w:szCs w:val="28"/>
              </w:rPr>
              <w:t>Provides cyclical flexibility but captures severe releveraging</w:t>
            </w:r>
          </w:p>
        </w:tc>
      </w:tr>
      <w:tr w:rsidR="002C7A9E" w:rsidRPr="00606F75" w14:paraId="5AA8D0BB" w14:textId="77777777">
        <w:trPr>
          <w:jc w:val="center"/>
        </w:trPr>
        <w:tc>
          <w:tcPr>
            <w:tcW w:w="3485" w:type="dxa"/>
            <w:vAlign w:val="center"/>
          </w:tcPr>
          <w:p w14:paraId="4E287804" w14:textId="77777777" w:rsidR="002C7A9E" w:rsidRPr="00606F75" w:rsidRDefault="00000000">
            <w:pPr>
              <w:rPr>
                <w:sz w:val="20"/>
                <w:szCs w:val="28"/>
              </w:rPr>
            </w:pPr>
            <w:r w:rsidRPr="00606F75">
              <w:rPr>
                <w:sz w:val="18"/>
                <w:szCs w:val="28"/>
              </w:rPr>
              <w:t>Minimum DSCR - maintenance basis</w:t>
            </w:r>
          </w:p>
        </w:tc>
        <w:tc>
          <w:tcPr>
            <w:tcW w:w="3485" w:type="dxa"/>
            <w:vAlign w:val="center"/>
          </w:tcPr>
          <w:p w14:paraId="01910EBE" w14:textId="77777777" w:rsidR="002C7A9E" w:rsidRPr="00606F75" w:rsidRDefault="00000000">
            <w:pPr>
              <w:rPr>
                <w:sz w:val="20"/>
                <w:szCs w:val="28"/>
              </w:rPr>
            </w:pPr>
            <w:r w:rsidRPr="00606F75">
              <w:rPr>
                <w:sz w:val="18"/>
                <w:szCs w:val="28"/>
              </w:rPr>
              <w:t>1.50x</w:t>
            </w:r>
          </w:p>
        </w:tc>
        <w:tc>
          <w:tcPr>
            <w:tcW w:w="3485" w:type="dxa"/>
            <w:vAlign w:val="center"/>
          </w:tcPr>
          <w:p w14:paraId="34EF47F8" w14:textId="77777777" w:rsidR="002C7A9E" w:rsidRPr="00606F75" w:rsidRDefault="00000000">
            <w:pPr>
              <w:rPr>
                <w:sz w:val="20"/>
                <w:szCs w:val="28"/>
              </w:rPr>
            </w:pPr>
            <w:r w:rsidRPr="00606F75">
              <w:rPr>
                <w:sz w:val="18"/>
                <w:szCs w:val="28"/>
              </w:rPr>
              <w:t>Protects recurring debt-service capacity after sustaining capex</w:t>
            </w:r>
          </w:p>
        </w:tc>
      </w:tr>
      <w:tr w:rsidR="002C7A9E" w:rsidRPr="00606F75" w14:paraId="6EFA7BDA" w14:textId="77777777">
        <w:trPr>
          <w:jc w:val="center"/>
        </w:trPr>
        <w:tc>
          <w:tcPr>
            <w:tcW w:w="3485" w:type="dxa"/>
            <w:vAlign w:val="center"/>
          </w:tcPr>
          <w:p w14:paraId="195C80E5" w14:textId="77777777" w:rsidR="002C7A9E" w:rsidRPr="00606F75" w:rsidRDefault="00000000">
            <w:pPr>
              <w:rPr>
                <w:sz w:val="20"/>
                <w:szCs w:val="28"/>
              </w:rPr>
            </w:pPr>
            <w:r w:rsidRPr="00606F75">
              <w:rPr>
                <w:sz w:val="18"/>
                <w:szCs w:val="28"/>
              </w:rPr>
              <w:t>Minimum EBIT / cash interest</w:t>
            </w:r>
          </w:p>
        </w:tc>
        <w:tc>
          <w:tcPr>
            <w:tcW w:w="3485" w:type="dxa"/>
            <w:vAlign w:val="center"/>
          </w:tcPr>
          <w:p w14:paraId="0CC9A304" w14:textId="77777777" w:rsidR="002C7A9E" w:rsidRPr="00606F75" w:rsidRDefault="00000000">
            <w:pPr>
              <w:rPr>
                <w:sz w:val="20"/>
                <w:szCs w:val="28"/>
              </w:rPr>
            </w:pPr>
            <w:r w:rsidRPr="00606F75">
              <w:rPr>
                <w:sz w:val="18"/>
                <w:szCs w:val="28"/>
              </w:rPr>
              <w:t>2.50x</w:t>
            </w:r>
          </w:p>
        </w:tc>
        <w:tc>
          <w:tcPr>
            <w:tcW w:w="3485" w:type="dxa"/>
            <w:vAlign w:val="center"/>
          </w:tcPr>
          <w:p w14:paraId="2E7F916B" w14:textId="77777777" w:rsidR="002C7A9E" w:rsidRPr="00606F75" w:rsidRDefault="00000000">
            <w:pPr>
              <w:rPr>
                <w:sz w:val="20"/>
                <w:szCs w:val="28"/>
              </w:rPr>
            </w:pPr>
            <w:r w:rsidRPr="00606F75">
              <w:rPr>
                <w:sz w:val="18"/>
                <w:szCs w:val="28"/>
              </w:rPr>
              <w:t>Early warning before liquidity becomes the binding constraint</w:t>
            </w:r>
          </w:p>
        </w:tc>
      </w:tr>
      <w:tr w:rsidR="002C7A9E" w:rsidRPr="00606F75" w14:paraId="7E3D5563" w14:textId="77777777">
        <w:trPr>
          <w:jc w:val="center"/>
        </w:trPr>
        <w:tc>
          <w:tcPr>
            <w:tcW w:w="3485" w:type="dxa"/>
            <w:vAlign w:val="center"/>
          </w:tcPr>
          <w:p w14:paraId="1A6E4D10" w14:textId="77777777" w:rsidR="002C7A9E" w:rsidRPr="00606F75" w:rsidRDefault="00000000">
            <w:pPr>
              <w:rPr>
                <w:sz w:val="20"/>
                <w:szCs w:val="28"/>
              </w:rPr>
            </w:pPr>
            <w:r w:rsidRPr="00606F75">
              <w:rPr>
                <w:sz w:val="18"/>
                <w:szCs w:val="28"/>
              </w:rPr>
              <w:t>Minimum cash + committed liquidity</w:t>
            </w:r>
          </w:p>
        </w:tc>
        <w:tc>
          <w:tcPr>
            <w:tcW w:w="3485" w:type="dxa"/>
            <w:vAlign w:val="center"/>
          </w:tcPr>
          <w:p w14:paraId="148F23D3" w14:textId="77777777" w:rsidR="002C7A9E" w:rsidRPr="00606F75" w:rsidRDefault="00000000">
            <w:pPr>
              <w:rPr>
                <w:sz w:val="20"/>
                <w:szCs w:val="28"/>
              </w:rPr>
            </w:pPr>
            <w:r w:rsidRPr="00606F75">
              <w:rPr>
                <w:sz w:val="18"/>
                <w:szCs w:val="28"/>
              </w:rPr>
              <w:t>Rs 25,000 crore</w:t>
            </w:r>
          </w:p>
        </w:tc>
        <w:tc>
          <w:tcPr>
            <w:tcW w:w="3485" w:type="dxa"/>
            <w:vAlign w:val="center"/>
          </w:tcPr>
          <w:p w14:paraId="525E144B" w14:textId="77777777" w:rsidR="002C7A9E" w:rsidRPr="00606F75" w:rsidRDefault="00000000">
            <w:pPr>
              <w:rPr>
                <w:sz w:val="20"/>
                <w:szCs w:val="28"/>
              </w:rPr>
            </w:pPr>
            <w:r w:rsidRPr="00606F75">
              <w:rPr>
                <w:sz w:val="18"/>
                <w:szCs w:val="28"/>
              </w:rPr>
              <w:t>Preserves a meaningful cushion versus Q1 FY27 reported liquidity of Rs 45,950 crore</w:t>
            </w:r>
          </w:p>
        </w:tc>
      </w:tr>
      <w:tr w:rsidR="002C7A9E" w:rsidRPr="00606F75" w14:paraId="429E6966" w14:textId="77777777">
        <w:trPr>
          <w:jc w:val="center"/>
        </w:trPr>
        <w:tc>
          <w:tcPr>
            <w:tcW w:w="3485" w:type="dxa"/>
            <w:vAlign w:val="center"/>
          </w:tcPr>
          <w:p w14:paraId="1201B67F" w14:textId="77777777" w:rsidR="002C7A9E" w:rsidRPr="00606F75" w:rsidRDefault="00000000">
            <w:pPr>
              <w:rPr>
                <w:sz w:val="20"/>
                <w:szCs w:val="28"/>
              </w:rPr>
            </w:pPr>
            <w:r w:rsidRPr="00606F75">
              <w:rPr>
                <w:sz w:val="18"/>
                <w:szCs w:val="28"/>
              </w:rPr>
              <w:t>Growth capex / acquisitions</w:t>
            </w:r>
          </w:p>
        </w:tc>
        <w:tc>
          <w:tcPr>
            <w:tcW w:w="3485" w:type="dxa"/>
            <w:vAlign w:val="center"/>
          </w:tcPr>
          <w:p w14:paraId="66C2DF9B" w14:textId="77777777" w:rsidR="002C7A9E" w:rsidRPr="00606F75" w:rsidRDefault="00000000">
            <w:pPr>
              <w:rPr>
                <w:sz w:val="20"/>
                <w:szCs w:val="28"/>
              </w:rPr>
            </w:pPr>
            <w:r w:rsidRPr="00606F75">
              <w:rPr>
                <w:sz w:val="18"/>
                <w:szCs w:val="28"/>
              </w:rPr>
              <w:t>Consent or leverage-incurrence test</w:t>
            </w:r>
          </w:p>
        </w:tc>
        <w:tc>
          <w:tcPr>
            <w:tcW w:w="3485" w:type="dxa"/>
            <w:vAlign w:val="center"/>
          </w:tcPr>
          <w:p w14:paraId="5D09235C" w14:textId="77777777" w:rsidR="002C7A9E" w:rsidRPr="00606F75" w:rsidRDefault="00000000">
            <w:pPr>
              <w:rPr>
                <w:sz w:val="20"/>
                <w:szCs w:val="28"/>
              </w:rPr>
            </w:pPr>
            <w:r w:rsidRPr="00606F75">
              <w:rPr>
                <w:sz w:val="18"/>
                <w:szCs w:val="28"/>
              </w:rPr>
              <w:t>Prevents expansion / M&amp;A from exhausting lender headroom</w:t>
            </w:r>
          </w:p>
        </w:tc>
      </w:tr>
    </w:tbl>
    <w:p w14:paraId="523E33E3" w14:textId="77777777" w:rsidR="002C7A9E" w:rsidRPr="00606F75" w:rsidRDefault="00000000">
      <w:pPr>
        <w:pStyle w:val="Heading2"/>
        <w:rPr>
          <w:sz w:val="24"/>
          <w:szCs w:val="32"/>
        </w:rPr>
      </w:pPr>
      <w:r w:rsidRPr="00606F75">
        <w:rPr>
          <w:sz w:val="24"/>
          <w:szCs w:val="32"/>
        </w:rPr>
        <w:t>Structural Protections</w:t>
      </w:r>
    </w:p>
    <w:p w14:paraId="37597065" w14:textId="77777777" w:rsidR="002C7A9E" w:rsidRPr="00606F75" w:rsidRDefault="00000000">
      <w:pPr>
        <w:pStyle w:val="ListBullet"/>
        <w:spacing w:after="30" w:line="240" w:lineRule="auto"/>
        <w:rPr>
          <w:sz w:val="20"/>
          <w:szCs w:val="28"/>
        </w:rPr>
      </w:pPr>
      <w:r w:rsidRPr="00606F75">
        <w:rPr>
          <w:sz w:val="20"/>
          <w:szCs w:val="28"/>
        </w:rPr>
        <w:t>Quarterly compliance certificate covering leverage, coverage, liquidity, capex and project-cost-to-complete.</w:t>
      </w:r>
    </w:p>
    <w:p w14:paraId="7D399FDD" w14:textId="77777777" w:rsidR="002C7A9E" w:rsidRPr="00606F75" w:rsidRDefault="00000000">
      <w:pPr>
        <w:pStyle w:val="ListBullet"/>
        <w:spacing w:after="30" w:line="240" w:lineRule="auto"/>
        <w:rPr>
          <w:sz w:val="20"/>
          <w:szCs w:val="28"/>
        </w:rPr>
      </w:pPr>
      <w:r w:rsidRPr="00606F75">
        <w:rPr>
          <w:sz w:val="20"/>
          <w:szCs w:val="28"/>
        </w:rPr>
        <w:t>Debt-incurrence test requiring pro forma compliance with leverage and DSCR thresholds.</w:t>
      </w:r>
    </w:p>
    <w:p w14:paraId="26B6E4F0" w14:textId="77777777" w:rsidR="002C7A9E" w:rsidRPr="00606F75" w:rsidRDefault="00000000">
      <w:pPr>
        <w:pStyle w:val="ListBullet"/>
        <w:spacing w:after="30" w:line="240" w:lineRule="auto"/>
        <w:rPr>
          <w:sz w:val="20"/>
          <w:szCs w:val="28"/>
        </w:rPr>
      </w:pPr>
      <w:r w:rsidRPr="00606F75">
        <w:rPr>
          <w:sz w:val="20"/>
          <w:szCs w:val="28"/>
        </w:rPr>
        <w:t>Distribution / acquisition restrictions if leverage exceeds an agreed trigger or liquidity falls below the required minimum.</w:t>
      </w:r>
    </w:p>
    <w:p w14:paraId="51798435" w14:textId="77777777" w:rsidR="002C7A9E" w:rsidRPr="00606F75" w:rsidRDefault="00000000">
      <w:pPr>
        <w:pStyle w:val="ListBullet"/>
        <w:spacing w:after="30" w:line="240" w:lineRule="auto"/>
        <w:rPr>
          <w:sz w:val="20"/>
          <w:szCs w:val="28"/>
        </w:rPr>
      </w:pPr>
      <w:r w:rsidRPr="00606F75">
        <w:rPr>
          <w:sz w:val="20"/>
          <w:szCs w:val="28"/>
        </w:rPr>
        <w:t>Reporting covenant for material project delays, cost overruns, environmental events and changes to European transition funding.</w:t>
      </w:r>
    </w:p>
    <w:p w14:paraId="3DD1C7DC" w14:textId="77777777" w:rsidR="002C7A9E" w:rsidRPr="00606F75" w:rsidRDefault="00000000">
      <w:pPr>
        <w:pStyle w:val="ListBullet"/>
        <w:spacing w:after="30" w:line="240" w:lineRule="auto"/>
        <w:rPr>
          <w:sz w:val="20"/>
          <w:szCs w:val="28"/>
        </w:rPr>
      </w:pPr>
      <w:r w:rsidRPr="00606F75">
        <w:rPr>
          <w:sz w:val="20"/>
          <w:szCs w:val="28"/>
        </w:rPr>
        <w:t>Twelve-month forward maturity-management requirement for material debt maturities.</w:t>
      </w:r>
    </w:p>
    <w:p w14:paraId="33ED1E43" w14:textId="77777777" w:rsidR="002C7A9E" w:rsidRPr="00606F75" w:rsidRDefault="00000000">
      <w:pPr>
        <w:pStyle w:val="Heading2"/>
        <w:rPr>
          <w:sz w:val="24"/>
          <w:szCs w:val="32"/>
        </w:rPr>
      </w:pPr>
      <w:r w:rsidRPr="00606F75">
        <w:rPr>
          <w:sz w:val="24"/>
          <w:szCs w:val="32"/>
        </w:rPr>
        <w:t>Required Before Credit Committee</w:t>
      </w:r>
    </w:p>
    <w:tbl>
      <w:tblPr>
        <w:tblStyle w:val="TableGrid"/>
        <w:tblW w:w="0" w:type="auto"/>
        <w:jc w:val="center"/>
        <w:tblLook w:val="04A0" w:firstRow="1" w:lastRow="0" w:firstColumn="1" w:lastColumn="0" w:noHBand="0" w:noVBand="1"/>
      </w:tblPr>
      <w:tblGrid>
        <w:gridCol w:w="1129"/>
        <w:gridCol w:w="4536"/>
        <w:gridCol w:w="4779"/>
      </w:tblGrid>
      <w:tr w:rsidR="002C7A9E" w:rsidRPr="00606F75" w14:paraId="31EC1247" w14:textId="77777777" w:rsidTr="00606F75">
        <w:trPr>
          <w:jc w:val="center"/>
        </w:trPr>
        <w:tc>
          <w:tcPr>
            <w:tcW w:w="1129" w:type="dxa"/>
            <w:shd w:val="clear" w:color="auto" w:fill="17365D"/>
            <w:vAlign w:val="center"/>
          </w:tcPr>
          <w:p w14:paraId="2AAEB3ED" w14:textId="77777777" w:rsidR="002C7A9E" w:rsidRPr="00606F75" w:rsidRDefault="00000000">
            <w:pPr>
              <w:rPr>
                <w:sz w:val="20"/>
                <w:szCs w:val="28"/>
              </w:rPr>
            </w:pPr>
            <w:r w:rsidRPr="00606F75">
              <w:rPr>
                <w:b/>
                <w:color w:val="FFFFFF"/>
                <w:sz w:val="18"/>
                <w:szCs w:val="28"/>
              </w:rPr>
              <w:t>Priority</w:t>
            </w:r>
          </w:p>
        </w:tc>
        <w:tc>
          <w:tcPr>
            <w:tcW w:w="4536" w:type="dxa"/>
            <w:shd w:val="clear" w:color="auto" w:fill="17365D"/>
            <w:vAlign w:val="center"/>
          </w:tcPr>
          <w:p w14:paraId="0B395ECC" w14:textId="77777777" w:rsidR="002C7A9E" w:rsidRPr="00606F75" w:rsidRDefault="00000000">
            <w:pPr>
              <w:rPr>
                <w:sz w:val="20"/>
                <w:szCs w:val="28"/>
              </w:rPr>
            </w:pPr>
            <w:r w:rsidRPr="00606F75">
              <w:rPr>
                <w:b/>
                <w:color w:val="FFFFFF"/>
                <w:sz w:val="18"/>
                <w:szCs w:val="28"/>
              </w:rPr>
              <w:t>Diligence Item</w:t>
            </w:r>
          </w:p>
        </w:tc>
        <w:tc>
          <w:tcPr>
            <w:tcW w:w="4779" w:type="dxa"/>
            <w:shd w:val="clear" w:color="auto" w:fill="17365D"/>
            <w:vAlign w:val="center"/>
          </w:tcPr>
          <w:p w14:paraId="32F66777" w14:textId="77777777" w:rsidR="002C7A9E" w:rsidRPr="00606F75" w:rsidRDefault="00000000">
            <w:pPr>
              <w:rPr>
                <w:sz w:val="20"/>
                <w:szCs w:val="28"/>
              </w:rPr>
            </w:pPr>
            <w:r w:rsidRPr="00606F75">
              <w:rPr>
                <w:b/>
                <w:color w:val="FFFFFF"/>
                <w:sz w:val="18"/>
                <w:szCs w:val="28"/>
              </w:rPr>
              <w:t>Why It Is Gating</w:t>
            </w:r>
          </w:p>
        </w:tc>
      </w:tr>
      <w:tr w:rsidR="002C7A9E" w:rsidRPr="00606F75" w14:paraId="2A7B5705" w14:textId="77777777" w:rsidTr="00606F75">
        <w:trPr>
          <w:jc w:val="center"/>
        </w:trPr>
        <w:tc>
          <w:tcPr>
            <w:tcW w:w="1129" w:type="dxa"/>
            <w:vAlign w:val="center"/>
          </w:tcPr>
          <w:p w14:paraId="488603A9" w14:textId="77777777" w:rsidR="002C7A9E" w:rsidRPr="00606F75" w:rsidRDefault="00000000">
            <w:pPr>
              <w:rPr>
                <w:sz w:val="20"/>
                <w:szCs w:val="28"/>
              </w:rPr>
            </w:pPr>
            <w:r w:rsidRPr="00606F75">
              <w:rPr>
                <w:sz w:val="18"/>
                <w:szCs w:val="28"/>
              </w:rPr>
              <w:t>1</w:t>
            </w:r>
          </w:p>
        </w:tc>
        <w:tc>
          <w:tcPr>
            <w:tcW w:w="4536" w:type="dxa"/>
            <w:vAlign w:val="center"/>
          </w:tcPr>
          <w:p w14:paraId="58474A60" w14:textId="77777777" w:rsidR="002C7A9E" w:rsidRPr="00606F75" w:rsidRDefault="00000000">
            <w:pPr>
              <w:rPr>
                <w:sz w:val="20"/>
                <w:szCs w:val="28"/>
              </w:rPr>
            </w:pPr>
            <w:r w:rsidRPr="00606F75">
              <w:rPr>
                <w:sz w:val="18"/>
                <w:szCs w:val="28"/>
              </w:rPr>
              <w:t>Detailed debt maturity ladder and committed / uncommitted facilities</w:t>
            </w:r>
          </w:p>
        </w:tc>
        <w:tc>
          <w:tcPr>
            <w:tcW w:w="4779" w:type="dxa"/>
            <w:vAlign w:val="center"/>
          </w:tcPr>
          <w:p w14:paraId="41FD38DD" w14:textId="77777777" w:rsidR="002C7A9E" w:rsidRPr="00606F75" w:rsidRDefault="00000000">
            <w:pPr>
              <w:rPr>
                <w:sz w:val="20"/>
                <w:szCs w:val="28"/>
              </w:rPr>
            </w:pPr>
            <w:r w:rsidRPr="00606F75">
              <w:rPr>
                <w:sz w:val="18"/>
                <w:szCs w:val="28"/>
              </w:rPr>
              <w:t>Replaces principal-amortisation proxy and identifies refinancing cliffs</w:t>
            </w:r>
          </w:p>
        </w:tc>
      </w:tr>
      <w:tr w:rsidR="002C7A9E" w:rsidRPr="00606F75" w14:paraId="620AFEC5" w14:textId="77777777" w:rsidTr="00606F75">
        <w:trPr>
          <w:jc w:val="center"/>
        </w:trPr>
        <w:tc>
          <w:tcPr>
            <w:tcW w:w="1129" w:type="dxa"/>
            <w:vAlign w:val="center"/>
          </w:tcPr>
          <w:p w14:paraId="58C62166" w14:textId="77777777" w:rsidR="002C7A9E" w:rsidRPr="00606F75" w:rsidRDefault="00000000">
            <w:pPr>
              <w:rPr>
                <w:sz w:val="20"/>
                <w:szCs w:val="28"/>
              </w:rPr>
            </w:pPr>
            <w:r w:rsidRPr="00606F75">
              <w:rPr>
                <w:sz w:val="18"/>
                <w:szCs w:val="28"/>
              </w:rPr>
              <w:t>2</w:t>
            </w:r>
          </w:p>
        </w:tc>
        <w:tc>
          <w:tcPr>
            <w:tcW w:w="4536" w:type="dxa"/>
            <w:vAlign w:val="center"/>
          </w:tcPr>
          <w:p w14:paraId="43FC23F1" w14:textId="77777777" w:rsidR="002C7A9E" w:rsidRPr="00606F75" w:rsidRDefault="00000000">
            <w:pPr>
              <w:rPr>
                <w:sz w:val="20"/>
                <w:szCs w:val="28"/>
              </w:rPr>
            </w:pPr>
            <w:r w:rsidRPr="00606F75">
              <w:rPr>
                <w:sz w:val="18"/>
                <w:szCs w:val="28"/>
              </w:rPr>
              <w:t>Debt pricing, cash vs capitalised interest, currency and fixed/floating mix</w:t>
            </w:r>
          </w:p>
        </w:tc>
        <w:tc>
          <w:tcPr>
            <w:tcW w:w="4779" w:type="dxa"/>
            <w:vAlign w:val="center"/>
          </w:tcPr>
          <w:p w14:paraId="3AFB9EE1" w14:textId="77777777" w:rsidR="002C7A9E" w:rsidRPr="00606F75" w:rsidRDefault="00000000">
            <w:pPr>
              <w:rPr>
                <w:sz w:val="20"/>
                <w:szCs w:val="28"/>
              </w:rPr>
            </w:pPr>
            <w:r w:rsidRPr="00606F75">
              <w:rPr>
                <w:sz w:val="18"/>
                <w:szCs w:val="28"/>
              </w:rPr>
              <w:t>Establishes true cash-interest burden and rate sensitivity</w:t>
            </w:r>
          </w:p>
        </w:tc>
      </w:tr>
      <w:tr w:rsidR="002C7A9E" w:rsidRPr="00606F75" w14:paraId="2DB5BDF3" w14:textId="77777777" w:rsidTr="00606F75">
        <w:trPr>
          <w:jc w:val="center"/>
        </w:trPr>
        <w:tc>
          <w:tcPr>
            <w:tcW w:w="1129" w:type="dxa"/>
            <w:vAlign w:val="center"/>
          </w:tcPr>
          <w:p w14:paraId="5ADCAE05" w14:textId="77777777" w:rsidR="002C7A9E" w:rsidRPr="00606F75" w:rsidRDefault="00000000">
            <w:pPr>
              <w:rPr>
                <w:sz w:val="20"/>
                <w:szCs w:val="28"/>
              </w:rPr>
            </w:pPr>
            <w:r w:rsidRPr="00606F75">
              <w:rPr>
                <w:sz w:val="18"/>
                <w:szCs w:val="28"/>
              </w:rPr>
              <w:t>3</w:t>
            </w:r>
          </w:p>
        </w:tc>
        <w:tc>
          <w:tcPr>
            <w:tcW w:w="4536" w:type="dxa"/>
            <w:vAlign w:val="center"/>
          </w:tcPr>
          <w:p w14:paraId="5F0CE994" w14:textId="77777777" w:rsidR="002C7A9E" w:rsidRPr="00606F75" w:rsidRDefault="00000000">
            <w:pPr>
              <w:rPr>
                <w:sz w:val="20"/>
                <w:szCs w:val="28"/>
              </w:rPr>
            </w:pPr>
            <w:r w:rsidRPr="00606F75">
              <w:rPr>
                <w:sz w:val="18"/>
                <w:szCs w:val="28"/>
              </w:rPr>
              <w:t>Project capex schedule by India / UK / Netherlands and committed status</w:t>
            </w:r>
          </w:p>
        </w:tc>
        <w:tc>
          <w:tcPr>
            <w:tcW w:w="4779" w:type="dxa"/>
            <w:vAlign w:val="center"/>
          </w:tcPr>
          <w:p w14:paraId="0D69C4F6" w14:textId="77777777" w:rsidR="002C7A9E" w:rsidRPr="00606F75" w:rsidRDefault="00000000">
            <w:pPr>
              <w:rPr>
                <w:sz w:val="20"/>
                <w:szCs w:val="28"/>
              </w:rPr>
            </w:pPr>
            <w:r w:rsidRPr="00606F75">
              <w:rPr>
                <w:sz w:val="18"/>
                <w:szCs w:val="28"/>
              </w:rPr>
              <w:t>Tests capex deferrability and peak-funding requirements</w:t>
            </w:r>
          </w:p>
        </w:tc>
      </w:tr>
      <w:tr w:rsidR="002C7A9E" w:rsidRPr="00606F75" w14:paraId="791F8517" w14:textId="77777777" w:rsidTr="00606F75">
        <w:trPr>
          <w:jc w:val="center"/>
        </w:trPr>
        <w:tc>
          <w:tcPr>
            <w:tcW w:w="1129" w:type="dxa"/>
            <w:vAlign w:val="center"/>
          </w:tcPr>
          <w:p w14:paraId="3044F00A" w14:textId="77777777" w:rsidR="002C7A9E" w:rsidRPr="00606F75" w:rsidRDefault="00000000">
            <w:pPr>
              <w:rPr>
                <w:sz w:val="20"/>
                <w:szCs w:val="28"/>
              </w:rPr>
            </w:pPr>
            <w:r w:rsidRPr="00606F75">
              <w:rPr>
                <w:sz w:val="18"/>
                <w:szCs w:val="28"/>
              </w:rPr>
              <w:t>4</w:t>
            </w:r>
          </w:p>
        </w:tc>
        <w:tc>
          <w:tcPr>
            <w:tcW w:w="4536" w:type="dxa"/>
            <w:vAlign w:val="center"/>
          </w:tcPr>
          <w:p w14:paraId="5FB98486" w14:textId="77777777" w:rsidR="002C7A9E" w:rsidRPr="00606F75" w:rsidRDefault="00000000">
            <w:pPr>
              <w:rPr>
                <w:sz w:val="20"/>
                <w:szCs w:val="28"/>
              </w:rPr>
            </w:pPr>
            <w:r w:rsidRPr="00606F75">
              <w:rPr>
                <w:sz w:val="18"/>
                <w:szCs w:val="28"/>
              </w:rPr>
              <w:t>European transition grants / policy support and expected cash burn</w:t>
            </w:r>
          </w:p>
        </w:tc>
        <w:tc>
          <w:tcPr>
            <w:tcW w:w="4779" w:type="dxa"/>
            <w:vAlign w:val="center"/>
          </w:tcPr>
          <w:p w14:paraId="6B1E0129" w14:textId="77777777" w:rsidR="002C7A9E" w:rsidRPr="00606F75" w:rsidRDefault="00000000">
            <w:pPr>
              <w:rPr>
                <w:sz w:val="20"/>
                <w:szCs w:val="28"/>
              </w:rPr>
            </w:pPr>
            <w:r w:rsidRPr="00606F75">
              <w:rPr>
                <w:sz w:val="18"/>
                <w:szCs w:val="28"/>
              </w:rPr>
              <w:t>Potentially material swing factor in consolidated FCF</w:t>
            </w:r>
          </w:p>
        </w:tc>
      </w:tr>
      <w:tr w:rsidR="002C7A9E" w:rsidRPr="00606F75" w14:paraId="52B9F51C" w14:textId="77777777" w:rsidTr="00606F75">
        <w:trPr>
          <w:jc w:val="center"/>
        </w:trPr>
        <w:tc>
          <w:tcPr>
            <w:tcW w:w="1129" w:type="dxa"/>
            <w:vAlign w:val="center"/>
          </w:tcPr>
          <w:p w14:paraId="4941C5A8" w14:textId="77777777" w:rsidR="002C7A9E" w:rsidRPr="00606F75" w:rsidRDefault="00000000">
            <w:pPr>
              <w:rPr>
                <w:sz w:val="20"/>
                <w:szCs w:val="28"/>
              </w:rPr>
            </w:pPr>
            <w:r w:rsidRPr="00606F75">
              <w:rPr>
                <w:sz w:val="18"/>
                <w:szCs w:val="28"/>
              </w:rPr>
              <w:t>5</w:t>
            </w:r>
          </w:p>
        </w:tc>
        <w:tc>
          <w:tcPr>
            <w:tcW w:w="4536" w:type="dxa"/>
            <w:vAlign w:val="center"/>
          </w:tcPr>
          <w:p w14:paraId="7B489312" w14:textId="77777777" w:rsidR="002C7A9E" w:rsidRPr="00606F75" w:rsidRDefault="00000000">
            <w:pPr>
              <w:rPr>
                <w:sz w:val="20"/>
                <w:szCs w:val="28"/>
              </w:rPr>
            </w:pPr>
            <w:r w:rsidRPr="00606F75">
              <w:rPr>
                <w:sz w:val="18"/>
                <w:szCs w:val="28"/>
              </w:rPr>
              <w:t>Existing covenant definitions, security, guarantees and structural ranking</w:t>
            </w:r>
          </w:p>
        </w:tc>
        <w:tc>
          <w:tcPr>
            <w:tcW w:w="4779" w:type="dxa"/>
            <w:vAlign w:val="center"/>
          </w:tcPr>
          <w:p w14:paraId="2A3F1FF6" w14:textId="77777777" w:rsidR="002C7A9E" w:rsidRPr="00606F75" w:rsidRDefault="00000000">
            <w:pPr>
              <w:rPr>
                <w:sz w:val="20"/>
                <w:szCs w:val="28"/>
              </w:rPr>
            </w:pPr>
            <w:r w:rsidRPr="00606F75">
              <w:rPr>
                <w:sz w:val="18"/>
                <w:szCs w:val="28"/>
              </w:rPr>
              <w:t>Determines actual headroom and creditor position</w:t>
            </w:r>
          </w:p>
        </w:tc>
      </w:tr>
      <w:tr w:rsidR="002C7A9E" w:rsidRPr="00606F75" w14:paraId="143BB1E1" w14:textId="77777777" w:rsidTr="00606F75">
        <w:trPr>
          <w:jc w:val="center"/>
        </w:trPr>
        <w:tc>
          <w:tcPr>
            <w:tcW w:w="1129" w:type="dxa"/>
            <w:vAlign w:val="center"/>
          </w:tcPr>
          <w:p w14:paraId="42FD1DB8" w14:textId="77777777" w:rsidR="002C7A9E" w:rsidRPr="00606F75" w:rsidRDefault="00000000">
            <w:pPr>
              <w:rPr>
                <w:sz w:val="20"/>
                <w:szCs w:val="28"/>
              </w:rPr>
            </w:pPr>
            <w:r w:rsidRPr="00606F75">
              <w:rPr>
                <w:sz w:val="18"/>
                <w:szCs w:val="28"/>
              </w:rPr>
              <w:t>6</w:t>
            </w:r>
          </w:p>
        </w:tc>
        <w:tc>
          <w:tcPr>
            <w:tcW w:w="4536" w:type="dxa"/>
            <w:vAlign w:val="center"/>
          </w:tcPr>
          <w:p w14:paraId="036A00ED" w14:textId="77777777" w:rsidR="002C7A9E" w:rsidRPr="00606F75" w:rsidRDefault="00000000">
            <w:pPr>
              <w:rPr>
                <w:sz w:val="20"/>
                <w:szCs w:val="28"/>
              </w:rPr>
            </w:pPr>
            <w:r w:rsidRPr="00606F75">
              <w:rPr>
                <w:sz w:val="18"/>
                <w:szCs w:val="28"/>
              </w:rPr>
              <w:t>Commodity and FX hedging framework</w:t>
            </w:r>
          </w:p>
        </w:tc>
        <w:tc>
          <w:tcPr>
            <w:tcW w:w="4779" w:type="dxa"/>
            <w:vAlign w:val="center"/>
          </w:tcPr>
          <w:p w14:paraId="14B238DA" w14:textId="77777777" w:rsidR="002C7A9E" w:rsidRPr="00606F75" w:rsidRDefault="00000000">
            <w:pPr>
              <w:rPr>
                <w:sz w:val="20"/>
                <w:szCs w:val="28"/>
              </w:rPr>
            </w:pPr>
            <w:r w:rsidRPr="00606F75">
              <w:rPr>
                <w:sz w:val="18"/>
                <w:szCs w:val="28"/>
              </w:rPr>
              <w:t>Quantifies coking-coal, energy and currency downside</w:t>
            </w:r>
          </w:p>
        </w:tc>
      </w:tr>
    </w:tbl>
    <w:p w14:paraId="5123BE6F" w14:textId="77777777" w:rsidR="002C7A9E" w:rsidRPr="00606F75" w:rsidRDefault="00000000">
      <w:pPr>
        <w:pStyle w:val="Heading2"/>
        <w:rPr>
          <w:sz w:val="24"/>
          <w:szCs w:val="32"/>
        </w:rPr>
      </w:pPr>
      <w:r w:rsidRPr="00606F75">
        <w:rPr>
          <w:sz w:val="24"/>
          <w:szCs w:val="32"/>
        </w:rPr>
        <w:t>Final Recommendation</w:t>
      </w:r>
    </w:p>
    <w:p w14:paraId="634D7CEB" w14:textId="77777777" w:rsidR="002C7A9E" w:rsidRPr="00606F75" w:rsidRDefault="00000000">
      <w:pPr>
        <w:spacing w:after="60" w:line="245" w:lineRule="auto"/>
        <w:rPr>
          <w:sz w:val="20"/>
          <w:szCs w:val="28"/>
        </w:rPr>
      </w:pPr>
      <w:r w:rsidRPr="00606F75">
        <w:rPr>
          <w:sz w:val="20"/>
          <w:szCs w:val="28"/>
        </w:rPr>
        <w:t>Conditional Approval / Proceed to Diligence. The operating franchise, Indian raw-material integration, scale and liquidity support further underwriting. However, the credit should be sized and structured to the downside case rather than to the base-case deleveraging trajectory.</w:t>
      </w:r>
    </w:p>
    <w:p w14:paraId="2EBE1FFC" w14:textId="77777777" w:rsidR="002C7A9E" w:rsidRPr="00606F75" w:rsidRDefault="00000000">
      <w:pPr>
        <w:spacing w:after="60" w:line="245" w:lineRule="auto"/>
        <w:rPr>
          <w:sz w:val="20"/>
          <w:szCs w:val="28"/>
        </w:rPr>
      </w:pPr>
      <w:r w:rsidRPr="00606F75">
        <w:rPr>
          <w:sz w:val="20"/>
          <w:szCs w:val="28"/>
        </w:rPr>
        <w:t>The principal underwriting issue is the funding of growth and transition capex through a cyclical steel environment. Maintenance-basis debt service remains supportable in the base case, but total-capex cash coverage is weak during the investment phase and downside DSCR falls below 1.0x. Accordingly, final approval should require satisfactory debt-maturity coverage, committed liquidity, project funding visibility and enforceable covenant definitions.</w:t>
      </w:r>
    </w:p>
    <w:p w14:paraId="4EDDCD81" w14:textId="77777777" w:rsidR="002C7A9E" w:rsidRPr="00606F75" w:rsidRDefault="00000000">
      <w:pPr>
        <w:spacing w:after="60" w:line="245" w:lineRule="auto"/>
        <w:rPr>
          <w:sz w:val="20"/>
          <w:szCs w:val="28"/>
        </w:rPr>
      </w:pPr>
      <w:r w:rsidRPr="00606F75">
        <w:rPr>
          <w:sz w:val="20"/>
          <w:szCs w:val="28"/>
        </w:rPr>
        <w:t>Recommended posture: SCREENING-ONLY / CONDITIONAL APPROVAL. The model is suitable as a public-source analytical case study, but it is not a substitute for lender diligence or contractual documentation.</w:t>
      </w:r>
    </w:p>
    <w:p w14:paraId="2E21A83A" w14:textId="77777777" w:rsidR="002C7A9E" w:rsidRPr="00606F75" w:rsidRDefault="00000000">
      <w:pPr>
        <w:pStyle w:val="Heading2"/>
        <w:rPr>
          <w:sz w:val="24"/>
          <w:szCs w:val="32"/>
        </w:rPr>
      </w:pPr>
      <w:r w:rsidRPr="00606F75">
        <w:rPr>
          <w:sz w:val="24"/>
          <w:szCs w:val="32"/>
        </w:rPr>
        <w:t>Evidence Base</w:t>
      </w:r>
    </w:p>
    <w:p w14:paraId="5C3F9528" w14:textId="77777777" w:rsidR="002C7A9E" w:rsidRPr="00606F75" w:rsidRDefault="00000000">
      <w:pPr>
        <w:spacing w:after="60" w:line="245" w:lineRule="auto"/>
        <w:rPr>
          <w:sz w:val="20"/>
          <w:szCs w:val="28"/>
        </w:rPr>
      </w:pPr>
      <w:r w:rsidRPr="00606F75">
        <w:rPr>
          <w:sz w:val="20"/>
          <w:szCs w:val="28"/>
        </w:rPr>
        <w:t>Primary evidence: Tata Steel FY2025-26 Integrated Report and Annual Accounts; Tata Steel Q1 FY2027 earnings release dated 30 July 2026; worldsteel Short Range Outlook, April 2026. Forecasts, selected capex phasing, maintenance-capex assumptions, debt sweeps, scheduled principal and stress parameters are analyst assumptions and are explicitly identified as such in the accompanying Excel workbook.</w:t>
      </w:r>
    </w:p>
    <w:sectPr w:rsidR="002C7A9E" w:rsidRPr="00606F75">
      <w:footerReference w:type="default" r:id="rId8"/>
      <w:pgSz w:w="12240" w:h="15840"/>
      <w:pgMar w:top="749" w:right="893" w:bottom="749"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32790" w14:textId="77777777" w:rsidR="008A79CC" w:rsidRDefault="008A79CC">
      <w:pPr>
        <w:spacing w:after="0" w:line="240" w:lineRule="auto"/>
      </w:pPr>
      <w:r>
        <w:separator/>
      </w:r>
    </w:p>
  </w:endnote>
  <w:endnote w:type="continuationSeparator" w:id="0">
    <w:p w14:paraId="2D09B715" w14:textId="77777777" w:rsidR="008A79CC" w:rsidRDefault="008A7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ED73" w14:textId="1EFC7B9D" w:rsidR="002C7A9E" w:rsidRDefault="002C7A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885A6" w14:textId="77777777" w:rsidR="008A79CC" w:rsidRDefault="008A79CC">
      <w:pPr>
        <w:spacing w:after="0" w:line="240" w:lineRule="auto"/>
      </w:pPr>
      <w:r>
        <w:separator/>
      </w:r>
    </w:p>
  </w:footnote>
  <w:footnote w:type="continuationSeparator" w:id="0">
    <w:p w14:paraId="2B4D2B7D" w14:textId="77777777" w:rsidR="008A79CC" w:rsidRDefault="008A7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836977">
    <w:abstractNumId w:val="8"/>
  </w:num>
  <w:num w:numId="2" w16cid:durableId="878125898">
    <w:abstractNumId w:val="6"/>
  </w:num>
  <w:num w:numId="3" w16cid:durableId="835460870">
    <w:abstractNumId w:val="5"/>
  </w:num>
  <w:num w:numId="4" w16cid:durableId="2102487330">
    <w:abstractNumId w:val="4"/>
  </w:num>
  <w:num w:numId="5" w16cid:durableId="120467562">
    <w:abstractNumId w:val="7"/>
  </w:num>
  <w:num w:numId="6" w16cid:durableId="584386936">
    <w:abstractNumId w:val="3"/>
  </w:num>
  <w:num w:numId="7" w16cid:durableId="1161852105">
    <w:abstractNumId w:val="2"/>
  </w:num>
  <w:num w:numId="8" w16cid:durableId="1295333106">
    <w:abstractNumId w:val="1"/>
  </w:num>
  <w:num w:numId="9" w16cid:durableId="93305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A9E"/>
    <w:rsid w:val="00326F90"/>
    <w:rsid w:val="00606F75"/>
    <w:rsid w:val="006E190D"/>
    <w:rsid w:val="008A79CC"/>
    <w:rsid w:val="008D54A3"/>
    <w:rsid w:val="00AA1D8D"/>
    <w:rsid w:val="00B47730"/>
    <w:rsid w:val="00C50E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BB11C"/>
  <w14:defaultImageDpi w14:val="300"/>
  <w15:docId w15:val="{86501342-CC4D-4C7E-AC52-62379C41E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1814</Words>
  <Characters>10345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Steel Limited - Credit Underwriting Memorandum</dc:title>
  <dc:subject>Corporate Credit Analysis</dc:subject>
  <dc:creator>Amit Kataria</dc:creator>
  <cp:keywords>Tata Steel, credit underwriting, financial analysis</cp:keywords>
  <dc:description/>
  <cp:lastModifiedBy>Amit Kataria</cp:lastModifiedBy>
  <cp:revision>4</cp:revision>
  <dcterms:created xsi:type="dcterms:W3CDTF">2026-08-28T06:58:00Z</dcterms:created>
  <dcterms:modified xsi:type="dcterms:W3CDTF">2026-08-28T07:00:00Z</dcterms:modified>
  <cp:category/>
</cp:coreProperties>
</file>