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AD00" w14:textId="77777777" w:rsidR="00DC531A" w:rsidRDefault="00DC531A" w:rsidP="00DC531A">
      <w:pPr>
        <w:pStyle w:val="Default"/>
      </w:pPr>
    </w:p>
    <w:p w14:paraId="6D1F9637" w14:textId="77777777" w:rsidR="00DC531A" w:rsidRDefault="00DC531A" w:rsidP="00DC531A">
      <w:pPr>
        <w:pStyle w:val="Default"/>
        <w:rPr>
          <w:sz w:val="20"/>
          <w:szCs w:val="20"/>
        </w:rPr>
      </w:pPr>
      <w:r>
        <w:t xml:space="preserve"> </w:t>
      </w:r>
      <w:r>
        <w:rPr>
          <w:b/>
          <w:bCs/>
          <w:color w:val="006FC0"/>
          <w:sz w:val="20"/>
          <w:szCs w:val="20"/>
        </w:rPr>
        <w:t xml:space="preserve">USI EMPLOYEEE EXIT </w:t>
      </w:r>
      <w:r>
        <w:rPr>
          <w:color w:val="838383"/>
          <w:sz w:val="20"/>
          <w:szCs w:val="20"/>
        </w:rPr>
        <w:t xml:space="preserve">| </w:t>
      </w:r>
      <w:r>
        <w:rPr>
          <w:b/>
          <w:bCs/>
          <w:color w:val="92D050"/>
          <w:sz w:val="20"/>
          <w:szCs w:val="20"/>
        </w:rPr>
        <w:t xml:space="preserve">Process Guidelines </w:t>
      </w:r>
    </w:p>
    <w:p w14:paraId="6FD2A52D" w14:textId="77777777" w:rsidR="00DC531A" w:rsidRDefault="00DC531A" w:rsidP="00DC531A">
      <w:pPr>
        <w:pStyle w:val="Default"/>
        <w:rPr>
          <w:rFonts w:ascii="Arial" w:hAnsi="Arial" w:cs="Arial"/>
          <w:sz w:val="40"/>
          <w:szCs w:val="40"/>
        </w:rPr>
      </w:pPr>
      <w:r>
        <w:rPr>
          <w:rFonts w:ascii="Arial" w:hAnsi="Arial" w:cs="Arial"/>
          <w:b/>
          <w:bCs/>
          <w:sz w:val="40"/>
          <w:szCs w:val="40"/>
        </w:rPr>
        <w:t xml:space="preserve">USI Employee Exit Process Guidelines </w:t>
      </w:r>
    </w:p>
    <w:p w14:paraId="7F17B072" w14:textId="77777777" w:rsidR="00DC531A" w:rsidRDefault="00DC531A" w:rsidP="00DC531A">
      <w:pPr>
        <w:pStyle w:val="Default"/>
        <w:rPr>
          <w:rFonts w:ascii="Arial" w:hAnsi="Arial" w:cs="Arial"/>
          <w:sz w:val="20"/>
          <w:szCs w:val="20"/>
        </w:rPr>
      </w:pPr>
      <w:r>
        <w:rPr>
          <w:rFonts w:ascii="Arial" w:hAnsi="Arial" w:cs="Arial"/>
          <w:sz w:val="20"/>
          <w:szCs w:val="20"/>
        </w:rPr>
        <w:t xml:space="preserve">As part of the USI exit process with USI Deloitte, please make sure that you complete the below steps: </w:t>
      </w:r>
    </w:p>
    <w:p w14:paraId="4AD9046B" w14:textId="77777777" w:rsidR="00DC531A" w:rsidRDefault="00DC531A" w:rsidP="00DC531A">
      <w:pPr>
        <w:pStyle w:val="Default"/>
        <w:spacing w:after="120"/>
        <w:rPr>
          <w:rFonts w:ascii="Arial" w:hAnsi="Arial" w:cs="Arial"/>
          <w:sz w:val="18"/>
          <w:szCs w:val="18"/>
        </w:rPr>
      </w:pPr>
      <w:r>
        <w:rPr>
          <w:rFonts w:ascii="Arial" w:hAnsi="Arial" w:cs="Arial"/>
          <w:color w:val="222222"/>
          <w:sz w:val="18"/>
          <w:szCs w:val="18"/>
        </w:rPr>
        <w:t xml:space="preserve">• </w:t>
      </w:r>
      <w:r>
        <w:rPr>
          <w:rFonts w:ascii="Arial" w:hAnsi="Arial" w:cs="Arial"/>
          <w:sz w:val="18"/>
          <w:szCs w:val="18"/>
        </w:rPr>
        <w:t xml:space="preserve">Enter all Time and Expenses through your last working day at least two weeks prior to your last working day. </w:t>
      </w:r>
      <w:r>
        <w:rPr>
          <w:rFonts w:ascii="Arial" w:hAnsi="Arial" w:cs="Arial"/>
          <w:b/>
          <w:bCs/>
          <w:sz w:val="18"/>
          <w:szCs w:val="18"/>
        </w:rPr>
        <w:t xml:space="preserve">Please check for any missing time instances in DTE for your complete tenure, up to and including your last work date and update the same accurately on DTE. </w:t>
      </w:r>
    </w:p>
    <w:p w14:paraId="028B5238" w14:textId="77777777" w:rsidR="00DC531A" w:rsidRDefault="00DC531A" w:rsidP="00DC531A">
      <w:pPr>
        <w:pStyle w:val="Default"/>
        <w:spacing w:after="120"/>
        <w:rPr>
          <w:sz w:val="18"/>
          <w:szCs w:val="18"/>
        </w:rPr>
      </w:pPr>
      <w:r>
        <w:rPr>
          <w:rFonts w:ascii="Arial" w:hAnsi="Arial" w:cs="Arial"/>
          <w:color w:val="222222"/>
          <w:sz w:val="18"/>
          <w:szCs w:val="18"/>
        </w:rPr>
        <w:t xml:space="preserve">• </w:t>
      </w:r>
      <w:r>
        <w:rPr>
          <w:rFonts w:ascii="Arial" w:hAnsi="Arial" w:cs="Arial"/>
          <w:sz w:val="18"/>
          <w:szCs w:val="18"/>
        </w:rPr>
        <w:t xml:space="preserve">Internet expense should be claimed on monthly basis, as per relevant amount applicable for BCP Internet. Consolidated bills are subjected to rejection. For any expense claim related queries, please reach out to </w:t>
      </w:r>
      <w:r>
        <w:rPr>
          <w:rFonts w:ascii="Arial" w:hAnsi="Arial" w:cs="Arial"/>
          <w:color w:val="0000FF"/>
          <w:sz w:val="18"/>
          <w:szCs w:val="18"/>
        </w:rPr>
        <w:t xml:space="preserve">usindiaexpensecompliance@deloitte.com </w:t>
      </w:r>
      <w:r>
        <w:rPr>
          <w:rFonts w:ascii="Arial" w:hAnsi="Arial" w:cs="Arial"/>
          <w:color w:val="222222"/>
          <w:sz w:val="18"/>
          <w:szCs w:val="18"/>
        </w:rPr>
        <w:t xml:space="preserve">(India expenses) &amp; </w:t>
      </w:r>
      <w:r>
        <w:rPr>
          <w:rFonts w:ascii="Arial" w:hAnsi="Arial" w:cs="Arial"/>
          <w:color w:val="0000FF"/>
          <w:sz w:val="18"/>
          <w:szCs w:val="18"/>
        </w:rPr>
        <w:t xml:space="preserve">expensecompliance@deloitte.com </w:t>
      </w:r>
      <w:r>
        <w:rPr>
          <w:rFonts w:ascii="Arial" w:hAnsi="Arial" w:cs="Arial"/>
          <w:color w:val="222222"/>
          <w:sz w:val="18"/>
          <w:szCs w:val="18"/>
        </w:rPr>
        <w:t>(US expenses)</w:t>
      </w:r>
      <w:r>
        <w:rPr>
          <w:rFonts w:ascii="Arial" w:hAnsi="Arial" w:cs="Arial"/>
          <w:sz w:val="18"/>
          <w:szCs w:val="18"/>
        </w:rPr>
        <w:t xml:space="preserve">. </w:t>
      </w:r>
    </w:p>
    <w:p w14:paraId="35DDDD8D" w14:textId="77777777" w:rsidR="00DC531A" w:rsidRDefault="00DC531A" w:rsidP="00DC531A">
      <w:pPr>
        <w:pStyle w:val="Default"/>
        <w:spacing w:after="120"/>
        <w:rPr>
          <w:rFonts w:ascii="Arial" w:hAnsi="Arial" w:cs="Arial"/>
          <w:sz w:val="18"/>
          <w:szCs w:val="18"/>
        </w:rPr>
      </w:pPr>
      <w:r>
        <w:rPr>
          <w:color w:val="222222"/>
          <w:sz w:val="18"/>
          <w:szCs w:val="18"/>
        </w:rPr>
        <w:t xml:space="preserve">• </w:t>
      </w:r>
      <w:r>
        <w:rPr>
          <w:rFonts w:ascii="Arial" w:hAnsi="Arial" w:cs="Arial"/>
          <w:sz w:val="18"/>
          <w:szCs w:val="18"/>
        </w:rPr>
        <w:t xml:space="preserve">Any outstanding balance on your Corporate American Express Card can significantly delay the relieving process. Ensure to clear all the dues at least two weeks prior to your last working day. Please shred the card after clearing the pending dues. </w:t>
      </w:r>
    </w:p>
    <w:p w14:paraId="1B892E56" w14:textId="77777777" w:rsidR="00DC531A" w:rsidRDefault="00DC531A" w:rsidP="00DC531A">
      <w:pPr>
        <w:pStyle w:val="Default"/>
        <w:spacing w:after="120"/>
        <w:rPr>
          <w:sz w:val="18"/>
          <w:szCs w:val="18"/>
        </w:rPr>
      </w:pPr>
      <w:r>
        <w:rPr>
          <w:rFonts w:ascii="Arial" w:hAnsi="Arial" w:cs="Arial"/>
          <w:color w:val="222222"/>
          <w:sz w:val="18"/>
          <w:szCs w:val="18"/>
        </w:rPr>
        <w:t xml:space="preserve">• </w:t>
      </w:r>
      <w:r>
        <w:rPr>
          <w:rFonts w:ascii="Arial" w:hAnsi="Arial" w:cs="Arial"/>
          <w:b/>
          <w:bCs/>
          <w:sz w:val="18"/>
          <w:szCs w:val="18"/>
        </w:rPr>
        <w:t>Redemption of Vantage Points</w:t>
      </w:r>
      <w:r>
        <w:rPr>
          <w:rFonts w:ascii="Arial" w:hAnsi="Arial" w:cs="Arial"/>
          <w:sz w:val="18"/>
          <w:szCs w:val="18"/>
        </w:rPr>
        <w:t xml:space="preserve">: Please note that you have until your last day with the Firm (before your Deloitte email expires) to log onto the Vantage Circle site and redeem any outstanding e-points that you might have in your Vantage Circle account. Log onto: </w:t>
      </w:r>
      <w:r>
        <w:rPr>
          <w:rFonts w:ascii="Arial" w:hAnsi="Arial" w:cs="Arial"/>
          <w:color w:val="0000FF"/>
          <w:sz w:val="18"/>
          <w:szCs w:val="18"/>
        </w:rPr>
        <w:t xml:space="preserve">https://deloitte.vantagecircle.com </w:t>
      </w:r>
      <w:r>
        <w:rPr>
          <w:rFonts w:ascii="Arial" w:hAnsi="Arial" w:cs="Arial"/>
          <w:sz w:val="18"/>
          <w:szCs w:val="18"/>
        </w:rPr>
        <w:t xml:space="preserve">with your Deloitte email id as your username and enter your password previously established with Vantage Circle; if you have not previously established an account, please follow the prompts to create your password. You may email your questions to </w:t>
      </w:r>
      <w:r>
        <w:rPr>
          <w:rFonts w:ascii="Arial" w:hAnsi="Arial" w:cs="Arial"/>
          <w:color w:val="0000FF"/>
          <w:sz w:val="18"/>
          <w:szCs w:val="18"/>
        </w:rPr>
        <w:t xml:space="preserve">support@vantagecircle.com </w:t>
      </w:r>
      <w:r>
        <w:rPr>
          <w:rFonts w:ascii="Arial" w:hAnsi="Arial" w:cs="Arial"/>
          <w:sz w:val="18"/>
          <w:szCs w:val="18"/>
        </w:rPr>
        <w:t xml:space="preserve">or visit the FAQs available from the top of the ‘My Account’ page on the website </w:t>
      </w:r>
    </w:p>
    <w:p w14:paraId="78C367FD" w14:textId="77777777" w:rsidR="00DC531A" w:rsidRDefault="00DC531A" w:rsidP="00DC531A">
      <w:pPr>
        <w:pStyle w:val="Default"/>
        <w:rPr>
          <w:rFonts w:ascii="Arial" w:hAnsi="Arial" w:cs="Arial"/>
          <w:sz w:val="18"/>
          <w:szCs w:val="18"/>
        </w:rPr>
      </w:pPr>
      <w:r>
        <w:rPr>
          <w:color w:val="222222"/>
          <w:sz w:val="18"/>
          <w:szCs w:val="18"/>
        </w:rPr>
        <w:t xml:space="preserve">• </w:t>
      </w:r>
      <w:r>
        <w:rPr>
          <w:rFonts w:ascii="Arial" w:hAnsi="Arial" w:cs="Arial"/>
          <w:sz w:val="18"/>
          <w:szCs w:val="18"/>
        </w:rPr>
        <w:t xml:space="preserve">You will receive a communication from Alumni Relations about ‘things to do before you leave’ and ‘what to expect post-Deloitte’ as you become a ‘colleague for life’. </w:t>
      </w:r>
    </w:p>
    <w:p w14:paraId="7B795170" w14:textId="77777777" w:rsidR="00DC531A" w:rsidRDefault="00DC531A" w:rsidP="00DC531A">
      <w:pPr>
        <w:pStyle w:val="Default"/>
        <w:rPr>
          <w:rFonts w:ascii="Arial" w:hAnsi="Arial" w:cs="Arial"/>
          <w:sz w:val="18"/>
          <w:szCs w:val="18"/>
        </w:rPr>
      </w:pPr>
    </w:p>
    <w:p w14:paraId="783631B1" w14:textId="77777777" w:rsidR="00DC531A" w:rsidRDefault="00DC531A" w:rsidP="00DC531A">
      <w:pPr>
        <w:pStyle w:val="Default"/>
        <w:rPr>
          <w:sz w:val="18"/>
          <w:szCs w:val="18"/>
        </w:rPr>
      </w:pPr>
      <w:r>
        <w:rPr>
          <w:rFonts w:ascii="Arial" w:hAnsi="Arial" w:cs="Arial"/>
          <w:sz w:val="18"/>
          <w:szCs w:val="18"/>
        </w:rPr>
        <w:t xml:space="preserve">Please reach out to </w:t>
      </w:r>
      <w:r>
        <w:rPr>
          <w:rFonts w:ascii="Arial" w:hAnsi="Arial" w:cs="Arial"/>
          <w:color w:val="0000FF"/>
          <w:sz w:val="18"/>
          <w:szCs w:val="18"/>
        </w:rPr>
        <w:t xml:space="preserve">USIndiaAlumniRelations@deloitte.com </w:t>
      </w:r>
      <w:r>
        <w:rPr>
          <w:rFonts w:ascii="Arial" w:hAnsi="Arial" w:cs="Arial"/>
          <w:sz w:val="18"/>
          <w:szCs w:val="18"/>
        </w:rPr>
        <w:t xml:space="preserve">for any queries regarding the same. </w:t>
      </w:r>
    </w:p>
    <w:p w14:paraId="521D44D1" w14:textId="77777777" w:rsidR="00DC531A" w:rsidRDefault="00DC531A" w:rsidP="00DC531A">
      <w:pPr>
        <w:pStyle w:val="Default"/>
        <w:rPr>
          <w:rFonts w:ascii="Arial" w:hAnsi="Arial" w:cs="Arial"/>
          <w:sz w:val="18"/>
          <w:szCs w:val="18"/>
        </w:rPr>
      </w:pPr>
      <w:r>
        <w:rPr>
          <w:color w:val="222222"/>
          <w:sz w:val="18"/>
          <w:szCs w:val="18"/>
        </w:rPr>
        <w:t xml:space="preserve">• </w:t>
      </w:r>
      <w:r>
        <w:rPr>
          <w:rFonts w:ascii="Arial" w:hAnsi="Arial" w:cs="Arial"/>
          <w:b/>
          <w:bCs/>
          <w:sz w:val="18"/>
          <w:szCs w:val="18"/>
        </w:rPr>
        <w:t xml:space="preserve">IT Assets: </w:t>
      </w:r>
    </w:p>
    <w:p w14:paraId="47E5E6F5" w14:textId="77777777" w:rsidR="00DC531A" w:rsidRDefault="00DC531A" w:rsidP="00DC531A">
      <w:pPr>
        <w:pStyle w:val="Default"/>
        <w:rPr>
          <w:sz w:val="18"/>
          <w:szCs w:val="18"/>
        </w:rPr>
      </w:pPr>
      <w:r>
        <w:rPr>
          <w:rFonts w:ascii="Arial" w:hAnsi="Arial" w:cs="Arial"/>
          <w:b/>
          <w:bCs/>
          <w:sz w:val="18"/>
          <w:szCs w:val="18"/>
        </w:rPr>
        <w:t xml:space="preserve">India USI Employee: </w:t>
      </w:r>
      <w:r>
        <w:rPr>
          <w:rFonts w:ascii="Arial" w:hAnsi="Arial" w:cs="Arial"/>
          <w:sz w:val="18"/>
          <w:szCs w:val="18"/>
        </w:rPr>
        <w:t xml:space="preserve">Ensure your laptop &amp; PDA (if applicable) with all the peripherals, including the laptop bag </w:t>
      </w:r>
    </w:p>
    <w:p w14:paraId="59DA2775" w14:textId="77777777" w:rsidR="00DC531A" w:rsidRDefault="00DC531A" w:rsidP="00DC531A">
      <w:pPr>
        <w:pStyle w:val="Default"/>
        <w:rPr>
          <w:rFonts w:ascii="Arial" w:hAnsi="Arial" w:cs="Arial"/>
          <w:color w:val="222222"/>
          <w:sz w:val="18"/>
          <w:szCs w:val="18"/>
        </w:rPr>
      </w:pPr>
      <w:r>
        <w:rPr>
          <w:rFonts w:ascii="Arial" w:hAnsi="Arial" w:cs="Arial"/>
          <w:sz w:val="18"/>
          <w:szCs w:val="18"/>
        </w:rPr>
        <w:t>is handed over at IT Staging room (locations mentioned below) on your last working day before 12:00 PM</w:t>
      </w:r>
      <w:r>
        <w:rPr>
          <w:rFonts w:ascii="Arial" w:hAnsi="Arial" w:cs="Arial"/>
          <w:color w:val="222222"/>
          <w:sz w:val="18"/>
          <w:szCs w:val="18"/>
        </w:rPr>
        <w:t xml:space="preserve">. The worth of the accessories which are not submitted will be recovered in the Full &amp; Final Settlement. </w:t>
      </w:r>
    </w:p>
    <w:p w14:paraId="2128A745" w14:textId="77777777" w:rsidR="00DC531A" w:rsidRDefault="00DC531A" w:rsidP="00DC531A">
      <w:pPr>
        <w:pStyle w:val="Default"/>
        <w:rPr>
          <w:sz w:val="18"/>
          <w:szCs w:val="18"/>
        </w:rPr>
      </w:pPr>
      <w:r>
        <w:rPr>
          <w:rFonts w:ascii="Arial" w:hAnsi="Arial" w:cs="Arial"/>
          <w:b/>
          <w:bCs/>
          <w:color w:val="222222"/>
          <w:sz w:val="18"/>
          <w:szCs w:val="18"/>
        </w:rPr>
        <w:t xml:space="preserve">Onsite USI Employee: </w:t>
      </w:r>
      <w:r>
        <w:rPr>
          <w:rFonts w:ascii="Arial" w:hAnsi="Arial" w:cs="Arial"/>
          <w:color w:val="222222"/>
          <w:sz w:val="18"/>
          <w:szCs w:val="18"/>
        </w:rPr>
        <w:t xml:space="preserve">Ensure your laptop &amp; PDA (if applicable) with all the peripherals, including the laptop bag is handed over at the nearest US Deloitte Offices IT staging room on your last working day. Ensure that you take an email confirmation about the IT assets submission from the IT team and share a copy of the same with </w:t>
      </w:r>
      <w:r>
        <w:rPr>
          <w:rFonts w:ascii="Arial" w:hAnsi="Arial" w:cs="Arial"/>
          <w:color w:val="0000FF"/>
          <w:sz w:val="18"/>
          <w:szCs w:val="18"/>
        </w:rPr>
        <w:t xml:space="preserve">jorivera@deloitte.com </w:t>
      </w:r>
      <w:r>
        <w:rPr>
          <w:rFonts w:ascii="Arial" w:hAnsi="Arial" w:cs="Arial"/>
          <w:color w:val="222222"/>
          <w:sz w:val="18"/>
          <w:szCs w:val="18"/>
        </w:rPr>
        <w:t xml:space="preserve">, </w:t>
      </w:r>
      <w:r>
        <w:rPr>
          <w:rFonts w:ascii="Arial" w:hAnsi="Arial" w:cs="Arial"/>
          <w:color w:val="0000FF"/>
          <w:sz w:val="18"/>
          <w:szCs w:val="18"/>
        </w:rPr>
        <w:t xml:space="preserve">USIIndiaExitManagement@deloitte.com </w:t>
      </w:r>
      <w:r>
        <w:rPr>
          <w:rFonts w:ascii="Arial" w:hAnsi="Arial" w:cs="Arial"/>
          <w:color w:val="222222"/>
          <w:sz w:val="18"/>
          <w:szCs w:val="18"/>
        </w:rPr>
        <w:t xml:space="preserve">&amp; </w:t>
      </w:r>
    </w:p>
    <w:p w14:paraId="2FA5CDE5" w14:textId="77777777" w:rsidR="00DC531A" w:rsidRDefault="00DC531A" w:rsidP="00DC531A">
      <w:pPr>
        <w:pStyle w:val="Default"/>
        <w:rPr>
          <w:rFonts w:ascii="Arial" w:hAnsi="Arial" w:cs="Arial"/>
          <w:color w:val="222222"/>
          <w:sz w:val="18"/>
          <w:szCs w:val="18"/>
        </w:rPr>
      </w:pPr>
      <w:r>
        <w:rPr>
          <w:rFonts w:ascii="Arial" w:hAnsi="Arial" w:cs="Arial"/>
          <w:color w:val="0000FF"/>
          <w:sz w:val="18"/>
          <w:szCs w:val="18"/>
        </w:rPr>
        <w:t xml:space="preserve">usindiaassetmanagement@deloitte.com </w:t>
      </w:r>
      <w:r>
        <w:rPr>
          <w:rFonts w:ascii="Arial" w:hAnsi="Arial" w:cs="Arial"/>
          <w:color w:val="222222"/>
          <w:sz w:val="18"/>
          <w:szCs w:val="18"/>
        </w:rPr>
        <w:t xml:space="preserve">providing your employee ID and last working date. Please save a copy of the same for future reference. </w:t>
      </w:r>
    </w:p>
    <w:p w14:paraId="06D89D24" w14:textId="77777777" w:rsidR="00DC531A" w:rsidRDefault="00DC531A" w:rsidP="00DC531A">
      <w:pPr>
        <w:pStyle w:val="Default"/>
        <w:rPr>
          <w:rFonts w:ascii="Arial" w:hAnsi="Arial" w:cs="Arial"/>
          <w:color w:val="222222"/>
          <w:sz w:val="18"/>
          <w:szCs w:val="18"/>
        </w:rPr>
      </w:pPr>
      <w:r>
        <w:rPr>
          <w:rFonts w:ascii="Arial" w:hAnsi="Arial" w:cs="Arial"/>
          <w:color w:val="222222"/>
          <w:sz w:val="18"/>
          <w:szCs w:val="18"/>
        </w:rPr>
        <w:t xml:space="preserve">• </w:t>
      </w:r>
      <w:r>
        <w:rPr>
          <w:rFonts w:ascii="Arial" w:hAnsi="Arial" w:cs="Arial"/>
          <w:b/>
          <w:bCs/>
          <w:color w:val="222222"/>
          <w:sz w:val="18"/>
          <w:szCs w:val="18"/>
        </w:rPr>
        <w:t>If you have synced any personal PDA to Deloitte’s corporate server, then please bring the PDA in for a data wipe to ITS asset/walkup a day prior to your last working day</w:t>
      </w:r>
      <w:r>
        <w:rPr>
          <w:rFonts w:ascii="Arial" w:hAnsi="Arial" w:cs="Arial"/>
          <w:color w:val="222222"/>
          <w:sz w:val="18"/>
          <w:szCs w:val="18"/>
        </w:rPr>
        <w:t xml:space="preserve">. Please take backup of any personal information on your PDA beforehand. ITS clearance will be given only after your official/personal PDA synced to Deloitte network has been wiped by ITS asset/walkup team. </w:t>
      </w:r>
    </w:p>
    <w:p w14:paraId="3F11247A" w14:textId="77777777" w:rsidR="00DC531A" w:rsidRDefault="00DC531A" w:rsidP="00DC531A">
      <w:pPr>
        <w:pStyle w:val="Default"/>
        <w:rPr>
          <w:rFonts w:ascii="Arial" w:hAnsi="Arial" w:cs="Arial"/>
          <w:color w:val="222222"/>
          <w:sz w:val="18"/>
          <w:szCs w:val="18"/>
        </w:rPr>
      </w:pPr>
    </w:p>
    <w:p w14:paraId="0FB13138" w14:textId="77777777" w:rsidR="00DC531A" w:rsidRDefault="00DC531A" w:rsidP="00DC531A">
      <w:pPr>
        <w:pStyle w:val="Default"/>
        <w:rPr>
          <w:rFonts w:ascii="Arial" w:hAnsi="Arial" w:cs="Arial"/>
          <w:sz w:val="18"/>
          <w:szCs w:val="18"/>
        </w:rPr>
      </w:pPr>
      <w:r>
        <w:rPr>
          <w:rFonts w:ascii="Arial" w:hAnsi="Arial" w:cs="Arial"/>
          <w:color w:val="222222"/>
          <w:sz w:val="18"/>
          <w:szCs w:val="18"/>
        </w:rPr>
        <w:t xml:space="preserve">• </w:t>
      </w:r>
      <w:r>
        <w:rPr>
          <w:rFonts w:ascii="Arial" w:hAnsi="Arial" w:cs="Arial"/>
          <w:b/>
          <w:bCs/>
          <w:sz w:val="18"/>
          <w:szCs w:val="18"/>
        </w:rPr>
        <w:t xml:space="preserve">Access card: </w:t>
      </w:r>
    </w:p>
    <w:p w14:paraId="1BB9DD1B" w14:textId="77777777" w:rsidR="00DC531A" w:rsidRDefault="00DC531A" w:rsidP="00DC531A">
      <w:pPr>
        <w:pStyle w:val="Default"/>
        <w:rPr>
          <w:rFonts w:ascii="Arial" w:hAnsi="Arial" w:cs="Arial"/>
          <w:sz w:val="18"/>
          <w:szCs w:val="18"/>
        </w:rPr>
      </w:pPr>
      <w:r>
        <w:rPr>
          <w:rFonts w:ascii="Arial" w:hAnsi="Arial" w:cs="Arial"/>
          <w:b/>
          <w:bCs/>
          <w:sz w:val="18"/>
          <w:szCs w:val="18"/>
        </w:rPr>
        <w:t xml:space="preserve">India USI Employee: </w:t>
      </w:r>
      <w:r>
        <w:rPr>
          <w:rFonts w:ascii="Arial" w:hAnsi="Arial" w:cs="Arial"/>
          <w:sz w:val="18"/>
          <w:szCs w:val="18"/>
        </w:rPr>
        <w:t xml:space="preserve">Access card (ID badge) needs to be handed over at the Badging station (locations mentioned below) on your last working day before 6:00 PM. </w:t>
      </w:r>
    </w:p>
    <w:p w14:paraId="44640B48" w14:textId="77777777" w:rsidR="00DC531A" w:rsidRDefault="00DC531A" w:rsidP="00DC531A">
      <w:pPr>
        <w:pStyle w:val="Default"/>
        <w:rPr>
          <w:sz w:val="18"/>
          <w:szCs w:val="18"/>
        </w:rPr>
      </w:pPr>
      <w:r>
        <w:rPr>
          <w:rFonts w:ascii="Arial" w:hAnsi="Arial" w:cs="Arial"/>
          <w:b/>
          <w:bCs/>
          <w:color w:val="222222"/>
          <w:sz w:val="18"/>
          <w:szCs w:val="18"/>
        </w:rPr>
        <w:t xml:space="preserve">Onsite USI Employee: </w:t>
      </w:r>
      <w:r>
        <w:rPr>
          <w:rFonts w:ascii="Arial" w:hAnsi="Arial" w:cs="Arial"/>
          <w:sz w:val="18"/>
          <w:szCs w:val="18"/>
        </w:rPr>
        <w:t xml:space="preserve">Access card (ID badge) needs to be handed over at the nearest </w:t>
      </w:r>
      <w:r>
        <w:rPr>
          <w:rFonts w:ascii="Arial" w:hAnsi="Arial" w:cs="Arial"/>
          <w:color w:val="222222"/>
          <w:sz w:val="18"/>
          <w:szCs w:val="18"/>
        </w:rPr>
        <w:t xml:space="preserve">US Deloitte Offices </w:t>
      </w:r>
      <w:r>
        <w:rPr>
          <w:rFonts w:ascii="Arial" w:hAnsi="Arial" w:cs="Arial"/>
          <w:sz w:val="18"/>
          <w:szCs w:val="18"/>
        </w:rPr>
        <w:t xml:space="preserve">Badging station on your last working day. Ensure that you take an email confirmation about the submission from the local Badging team. Please share a copy of the same with </w:t>
      </w:r>
      <w:r>
        <w:rPr>
          <w:rFonts w:ascii="Arial" w:hAnsi="Arial" w:cs="Arial"/>
          <w:color w:val="0000FF"/>
          <w:sz w:val="18"/>
          <w:szCs w:val="18"/>
        </w:rPr>
        <w:t xml:space="preserve">USIIndiaExitManagement@deloitte.com </w:t>
      </w:r>
      <w:r>
        <w:rPr>
          <w:rFonts w:ascii="Arial" w:hAnsi="Arial" w:cs="Arial"/>
          <w:sz w:val="18"/>
          <w:szCs w:val="18"/>
        </w:rPr>
        <w:t xml:space="preserve">providing your employee ID and last working date. </w:t>
      </w:r>
    </w:p>
    <w:p w14:paraId="4D11A505" w14:textId="77777777" w:rsidR="00DC531A" w:rsidRDefault="00DC531A" w:rsidP="00DC531A">
      <w:pPr>
        <w:pStyle w:val="Default"/>
        <w:pageBreakBefore/>
        <w:rPr>
          <w:sz w:val="20"/>
          <w:szCs w:val="20"/>
        </w:rPr>
      </w:pPr>
      <w:r>
        <w:rPr>
          <w:b/>
          <w:bCs/>
          <w:color w:val="006FC0"/>
          <w:sz w:val="20"/>
          <w:szCs w:val="20"/>
        </w:rPr>
        <w:lastRenderedPageBreak/>
        <w:t xml:space="preserve">USI EMPLOYEEE EXIT </w:t>
      </w:r>
      <w:r>
        <w:rPr>
          <w:color w:val="838383"/>
          <w:sz w:val="20"/>
          <w:szCs w:val="20"/>
        </w:rPr>
        <w:t xml:space="preserve">| </w:t>
      </w:r>
      <w:r>
        <w:rPr>
          <w:b/>
          <w:bCs/>
          <w:color w:val="92D050"/>
          <w:sz w:val="20"/>
          <w:szCs w:val="20"/>
        </w:rPr>
        <w:t xml:space="preserve">Process Guidelines </w:t>
      </w:r>
    </w:p>
    <w:p w14:paraId="38F47ED1" w14:textId="77777777" w:rsidR="00DC531A" w:rsidRDefault="00DC531A" w:rsidP="00DC531A">
      <w:pPr>
        <w:pStyle w:val="Default"/>
        <w:spacing w:after="69"/>
        <w:rPr>
          <w:rFonts w:ascii="Arial" w:hAnsi="Arial" w:cs="Arial"/>
          <w:sz w:val="18"/>
          <w:szCs w:val="18"/>
        </w:rPr>
      </w:pPr>
      <w:r>
        <w:rPr>
          <w:color w:val="222222"/>
          <w:sz w:val="18"/>
          <w:szCs w:val="18"/>
        </w:rPr>
        <w:t xml:space="preserve">• </w:t>
      </w:r>
      <w:r>
        <w:rPr>
          <w:rFonts w:ascii="Arial" w:hAnsi="Arial" w:cs="Arial"/>
          <w:sz w:val="18"/>
          <w:szCs w:val="18"/>
        </w:rPr>
        <w:t xml:space="preserve">Pedestal keys need to be handed over to the Key Room and any issued books or resources at the Communication Gym, at least two days prior to your last working day. (Locations mentioned below) </w:t>
      </w:r>
    </w:p>
    <w:p w14:paraId="16B1F524" w14:textId="77777777" w:rsidR="00DC531A" w:rsidRDefault="00DC531A" w:rsidP="00DC531A">
      <w:pPr>
        <w:pStyle w:val="Default"/>
        <w:rPr>
          <w:rFonts w:ascii="Arial" w:hAnsi="Arial" w:cs="Arial"/>
          <w:sz w:val="18"/>
          <w:szCs w:val="18"/>
        </w:rPr>
      </w:pPr>
      <w:r>
        <w:rPr>
          <w:rFonts w:ascii="Arial" w:hAnsi="Arial" w:cs="Arial"/>
          <w:color w:val="222222"/>
          <w:sz w:val="18"/>
          <w:szCs w:val="18"/>
        </w:rPr>
        <w:t xml:space="preserve">• </w:t>
      </w:r>
      <w:r>
        <w:rPr>
          <w:rFonts w:ascii="Arial" w:hAnsi="Arial" w:cs="Arial"/>
          <w:sz w:val="18"/>
          <w:szCs w:val="18"/>
        </w:rPr>
        <w:t xml:space="preserve">Request you to go through the </w:t>
      </w:r>
      <w:r>
        <w:rPr>
          <w:rFonts w:ascii="Arial" w:hAnsi="Arial" w:cs="Arial"/>
          <w:b/>
          <w:bCs/>
          <w:sz w:val="18"/>
          <w:szCs w:val="18"/>
        </w:rPr>
        <w:t xml:space="preserve">Exit Kit </w:t>
      </w:r>
      <w:r>
        <w:rPr>
          <w:rFonts w:ascii="Arial" w:hAnsi="Arial" w:cs="Arial"/>
          <w:sz w:val="18"/>
          <w:szCs w:val="18"/>
        </w:rPr>
        <w:t xml:space="preserve">that is available in your dashboard. This exit kit takes you through the USI exit formalities that needs to be carried out on your part. </w:t>
      </w:r>
    </w:p>
    <w:p w14:paraId="4416180E" w14:textId="77777777" w:rsidR="00DC531A" w:rsidRDefault="00DC531A" w:rsidP="00DC531A">
      <w:pPr>
        <w:pStyle w:val="Default"/>
        <w:rPr>
          <w:rFonts w:ascii="Arial" w:hAnsi="Arial" w:cs="Arial"/>
          <w:sz w:val="18"/>
          <w:szCs w:val="18"/>
        </w:rPr>
      </w:pPr>
    </w:p>
    <w:p w14:paraId="1EA5B0D9" w14:textId="77777777" w:rsidR="00DC531A" w:rsidRDefault="00DC531A" w:rsidP="00DC531A">
      <w:pPr>
        <w:pStyle w:val="Default"/>
        <w:rPr>
          <w:sz w:val="22"/>
          <w:szCs w:val="22"/>
        </w:rPr>
      </w:pPr>
      <w:r>
        <w:rPr>
          <w:b/>
          <w:bCs/>
          <w:sz w:val="22"/>
          <w:szCs w:val="22"/>
        </w:rPr>
        <w:t xml:space="preserve">This is only an indicative document of all your responsibilities under the separation process and is not limited to the above terms and the Exit Kit only. </w:t>
      </w:r>
    </w:p>
    <w:p w14:paraId="557E2D8D" w14:textId="77777777" w:rsidR="00DC531A" w:rsidRDefault="00DC531A" w:rsidP="00DC531A">
      <w:pPr>
        <w:pStyle w:val="Default"/>
        <w:rPr>
          <w:sz w:val="28"/>
          <w:szCs w:val="28"/>
        </w:rPr>
      </w:pPr>
      <w:r>
        <w:rPr>
          <w:b/>
          <w:bCs/>
          <w:sz w:val="28"/>
          <w:szCs w:val="28"/>
        </w:rPr>
        <w:t xml:space="preserve">Note: </w:t>
      </w:r>
    </w:p>
    <w:p w14:paraId="64A66751" w14:textId="77777777" w:rsidR="00DC531A" w:rsidRDefault="00DC531A" w:rsidP="00DC531A">
      <w:pPr>
        <w:pStyle w:val="Default"/>
        <w:spacing w:after="43"/>
        <w:rPr>
          <w:rFonts w:ascii="Arial" w:hAnsi="Arial" w:cs="Arial"/>
          <w:sz w:val="18"/>
          <w:szCs w:val="18"/>
        </w:rPr>
      </w:pPr>
      <w:r>
        <w:rPr>
          <w:color w:val="222222"/>
          <w:sz w:val="18"/>
          <w:szCs w:val="18"/>
        </w:rPr>
        <w:t xml:space="preserve">• </w:t>
      </w:r>
      <w:r>
        <w:rPr>
          <w:rFonts w:ascii="Arial" w:hAnsi="Arial" w:cs="Arial"/>
          <w:sz w:val="18"/>
          <w:szCs w:val="18"/>
        </w:rPr>
        <w:t xml:space="preserve">A digitally signed soft copy of the relieving letter will be issued to you within 30 calendar days from your last working date with the firm (subject to exit clearance received from all the stakeholders involved in this process). </w:t>
      </w:r>
    </w:p>
    <w:p w14:paraId="5ED67A3F" w14:textId="77777777" w:rsidR="00DC531A" w:rsidRDefault="00DC531A" w:rsidP="00DC531A">
      <w:pPr>
        <w:pStyle w:val="Default"/>
        <w:spacing w:after="43"/>
        <w:rPr>
          <w:rFonts w:ascii="Arial" w:hAnsi="Arial" w:cs="Arial"/>
          <w:color w:val="222222"/>
          <w:sz w:val="18"/>
          <w:szCs w:val="18"/>
        </w:rPr>
      </w:pPr>
      <w:r>
        <w:rPr>
          <w:rFonts w:ascii="Arial" w:hAnsi="Arial" w:cs="Arial"/>
          <w:color w:val="222222"/>
          <w:sz w:val="18"/>
          <w:szCs w:val="18"/>
        </w:rPr>
        <w:t xml:space="preserve">• As per the policy of the Finance team, leave balance on the last working day will be considered in the Full and Final Settlement calculation. The leave encashment/notice period shortfall is computed on Monthly Basic Pay. The notice period recovery and leave encashment are treated as two separate components and shown accordingly on the final settlement. </w:t>
      </w:r>
    </w:p>
    <w:p w14:paraId="651CAB56" w14:textId="77777777" w:rsidR="00DC531A" w:rsidRDefault="00DC531A" w:rsidP="00DC531A">
      <w:pPr>
        <w:pStyle w:val="Default"/>
        <w:spacing w:after="43"/>
        <w:rPr>
          <w:rFonts w:ascii="Arial" w:hAnsi="Arial" w:cs="Arial"/>
          <w:color w:val="222222"/>
          <w:sz w:val="18"/>
          <w:szCs w:val="18"/>
        </w:rPr>
      </w:pPr>
      <w:r>
        <w:rPr>
          <w:rFonts w:ascii="Arial" w:hAnsi="Arial" w:cs="Arial"/>
          <w:color w:val="222222"/>
          <w:sz w:val="18"/>
          <w:szCs w:val="18"/>
        </w:rPr>
        <w:t xml:space="preserve">• Please reach out to </w:t>
      </w:r>
      <w:r>
        <w:rPr>
          <w:rFonts w:ascii="Arial" w:hAnsi="Arial" w:cs="Arial"/>
          <w:color w:val="0000FF"/>
          <w:sz w:val="18"/>
          <w:szCs w:val="18"/>
        </w:rPr>
        <w:t xml:space="preserve">usr10faceoffinance@deloitte.com </w:t>
      </w:r>
      <w:r>
        <w:rPr>
          <w:rFonts w:ascii="Arial" w:hAnsi="Arial" w:cs="Arial"/>
          <w:color w:val="222222"/>
          <w:sz w:val="18"/>
          <w:szCs w:val="18"/>
        </w:rPr>
        <w:t xml:space="preserve">or the Finance Helpdesk at ‘2222’ for all finance related queries (gratuity, investment proofs, Form 16, etc.) </w:t>
      </w:r>
    </w:p>
    <w:p w14:paraId="17E5E407" w14:textId="77777777" w:rsidR="00DC531A" w:rsidRDefault="00DC531A" w:rsidP="00DC531A">
      <w:pPr>
        <w:pStyle w:val="Default"/>
        <w:rPr>
          <w:sz w:val="18"/>
          <w:szCs w:val="18"/>
        </w:rPr>
      </w:pPr>
      <w:r>
        <w:rPr>
          <w:rFonts w:ascii="Arial" w:hAnsi="Arial" w:cs="Arial"/>
          <w:color w:val="222222"/>
          <w:sz w:val="18"/>
          <w:szCs w:val="18"/>
        </w:rPr>
        <w:t xml:space="preserve">• Your full and final settlement will be made within 30 calendar days from your last working day. Please reach out to </w:t>
      </w:r>
      <w:r>
        <w:rPr>
          <w:rFonts w:ascii="Arial" w:hAnsi="Arial" w:cs="Arial"/>
          <w:color w:val="0000FF"/>
          <w:sz w:val="18"/>
          <w:szCs w:val="18"/>
        </w:rPr>
        <w:t xml:space="preserve">usr10faceoffinance@deloitte.com </w:t>
      </w:r>
      <w:r>
        <w:rPr>
          <w:rFonts w:ascii="Arial" w:hAnsi="Arial" w:cs="Arial"/>
          <w:color w:val="222222"/>
          <w:sz w:val="18"/>
          <w:szCs w:val="18"/>
        </w:rPr>
        <w:t xml:space="preserve">for queries regarding to F&amp;F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016"/>
        <w:gridCol w:w="2016"/>
        <w:gridCol w:w="2016"/>
        <w:gridCol w:w="2016"/>
        <w:gridCol w:w="2016"/>
      </w:tblGrid>
      <w:tr w:rsidR="00DC531A" w14:paraId="4D9726AB" w14:textId="77777777">
        <w:trPr>
          <w:trHeight w:val="199"/>
        </w:trPr>
        <w:tc>
          <w:tcPr>
            <w:tcW w:w="2016" w:type="dxa"/>
          </w:tcPr>
          <w:p w14:paraId="69699597" w14:textId="77777777" w:rsidR="00DC531A" w:rsidRDefault="00DC531A">
            <w:pPr>
              <w:pStyle w:val="Default"/>
              <w:rPr>
                <w:sz w:val="22"/>
                <w:szCs w:val="22"/>
              </w:rPr>
            </w:pPr>
            <w:r>
              <w:rPr>
                <w:b/>
                <w:bCs/>
                <w:sz w:val="22"/>
                <w:szCs w:val="22"/>
              </w:rPr>
              <w:t xml:space="preserve">Team </w:t>
            </w:r>
          </w:p>
        </w:tc>
        <w:tc>
          <w:tcPr>
            <w:tcW w:w="2016" w:type="dxa"/>
          </w:tcPr>
          <w:p w14:paraId="129CB2C7" w14:textId="77777777" w:rsidR="00DC531A" w:rsidRDefault="00DC531A">
            <w:pPr>
              <w:pStyle w:val="Default"/>
              <w:rPr>
                <w:sz w:val="22"/>
                <w:szCs w:val="22"/>
              </w:rPr>
            </w:pPr>
            <w:r>
              <w:rPr>
                <w:b/>
                <w:bCs/>
                <w:sz w:val="22"/>
                <w:szCs w:val="22"/>
              </w:rPr>
              <w:t xml:space="preserve">Hyderabad Office </w:t>
            </w:r>
          </w:p>
        </w:tc>
        <w:tc>
          <w:tcPr>
            <w:tcW w:w="2016" w:type="dxa"/>
          </w:tcPr>
          <w:p w14:paraId="20832581" w14:textId="77777777" w:rsidR="00DC531A" w:rsidRDefault="00DC531A">
            <w:pPr>
              <w:pStyle w:val="Default"/>
              <w:rPr>
                <w:sz w:val="22"/>
                <w:szCs w:val="22"/>
              </w:rPr>
            </w:pPr>
            <w:r>
              <w:rPr>
                <w:b/>
                <w:bCs/>
                <w:sz w:val="22"/>
                <w:szCs w:val="22"/>
              </w:rPr>
              <w:t xml:space="preserve">Mumbai Office </w:t>
            </w:r>
          </w:p>
        </w:tc>
        <w:tc>
          <w:tcPr>
            <w:tcW w:w="2016" w:type="dxa"/>
          </w:tcPr>
          <w:p w14:paraId="62429BF4" w14:textId="77777777" w:rsidR="00DC531A" w:rsidRDefault="00DC531A">
            <w:pPr>
              <w:pStyle w:val="Default"/>
              <w:rPr>
                <w:sz w:val="22"/>
                <w:szCs w:val="22"/>
              </w:rPr>
            </w:pPr>
            <w:r>
              <w:rPr>
                <w:b/>
                <w:bCs/>
                <w:sz w:val="22"/>
                <w:szCs w:val="22"/>
              </w:rPr>
              <w:t xml:space="preserve">Bengaluru Office </w:t>
            </w:r>
          </w:p>
        </w:tc>
        <w:tc>
          <w:tcPr>
            <w:tcW w:w="2016" w:type="dxa"/>
          </w:tcPr>
          <w:p w14:paraId="3065D488" w14:textId="77777777" w:rsidR="00DC531A" w:rsidRDefault="00DC531A">
            <w:pPr>
              <w:pStyle w:val="Default"/>
              <w:rPr>
                <w:sz w:val="22"/>
                <w:szCs w:val="22"/>
              </w:rPr>
            </w:pPr>
            <w:r>
              <w:rPr>
                <w:b/>
                <w:bCs/>
                <w:sz w:val="22"/>
                <w:szCs w:val="22"/>
              </w:rPr>
              <w:t xml:space="preserve">Gurgaon Office </w:t>
            </w:r>
          </w:p>
        </w:tc>
      </w:tr>
      <w:tr w:rsidR="00DC531A" w14:paraId="09231AC9" w14:textId="77777777">
        <w:trPr>
          <w:trHeight w:val="499"/>
        </w:trPr>
        <w:tc>
          <w:tcPr>
            <w:tcW w:w="2016" w:type="dxa"/>
          </w:tcPr>
          <w:p w14:paraId="3AB34FFA" w14:textId="77777777" w:rsidR="00DC531A" w:rsidRDefault="00DC531A">
            <w:pPr>
              <w:pStyle w:val="Default"/>
              <w:rPr>
                <w:sz w:val="22"/>
                <w:szCs w:val="22"/>
              </w:rPr>
            </w:pPr>
            <w:r>
              <w:rPr>
                <w:b/>
                <w:bCs/>
                <w:sz w:val="22"/>
                <w:szCs w:val="22"/>
              </w:rPr>
              <w:t xml:space="preserve">IT Staging Room </w:t>
            </w:r>
          </w:p>
        </w:tc>
        <w:tc>
          <w:tcPr>
            <w:tcW w:w="2016" w:type="dxa"/>
          </w:tcPr>
          <w:p w14:paraId="0C100C34" w14:textId="77777777" w:rsidR="00DC531A" w:rsidRDefault="00DC531A">
            <w:pPr>
              <w:pStyle w:val="Default"/>
              <w:rPr>
                <w:sz w:val="20"/>
                <w:szCs w:val="20"/>
              </w:rPr>
            </w:pPr>
            <w:r>
              <w:rPr>
                <w:sz w:val="20"/>
                <w:szCs w:val="20"/>
              </w:rPr>
              <w:t xml:space="preserve">A, B, C, D, N block - ITS </w:t>
            </w:r>
          </w:p>
          <w:p w14:paraId="5EB0ED52" w14:textId="77777777" w:rsidR="00DC531A" w:rsidRDefault="00DC531A">
            <w:pPr>
              <w:pStyle w:val="Default"/>
              <w:rPr>
                <w:sz w:val="20"/>
                <w:szCs w:val="20"/>
              </w:rPr>
            </w:pPr>
            <w:r>
              <w:rPr>
                <w:sz w:val="20"/>
                <w:szCs w:val="20"/>
              </w:rPr>
              <w:t xml:space="preserve">walk up; </w:t>
            </w:r>
          </w:p>
          <w:p w14:paraId="448D591A" w14:textId="77777777" w:rsidR="00DC531A" w:rsidRDefault="00DC531A">
            <w:pPr>
              <w:pStyle w:val="Default"/>
              <w:rPr>
                <w:sz w:val="20"/>
                <w:szCs w:val="20"/>
              </w:rPr>
            </w:pPr>
            <w:r>
              <w:rPr>
                <w:sz w:val="20"/>
                <w:szCs w:val="20"/>
              </w:rPr>
              <w:t xml:space="preserve">Deloitte Tower 1, F, K, L, G &amp; H - 16th Floor ITS walk-up </w:t>
            </w:r>
          </w:p>
        </w:tc>
        <w:tc>
          <w:tcPr>
            <w:tcW w:w="2016" w:type="dxa"/>
          </w:tcPr>
          <w:p w14:paraId="7DA00D03" w14:textId="77777777" w:rsidR="00DC531A" w:rsidRDefault="00DC531A">
            <w:pPr>
              <w:pStyle w:val="Default"/>
              <w:rPr>
                <w:sz w:val="20"/>
                <w:szCs w:val="20"/>
              </w:rPr>
            </w:pPr>
            <w:r>
              <w:rPr>
                <w:sz w:val="20"/>
                <w:szCs w:val="20"/>
              </w:rPr>
              <w:t xml:space="preserve">Fifth Floor </w:t>
            </w:r>
          </w:p>
        </w:tc>
        <w:tc>
          <w:tcPr>
            <w:tcW w:w="2016" w:type="dxa"/>
          </w:tcPr>
          <w:p w14:paraId="002032BD" w14:textId="77777777" w:rsidR="00DC531A" w:rsidRDefault="00DC531A">
            <w:pPr>
              <w:pStyle w:val="Default"/>
              <w:rPr>
                <w:sz w:val="20"/>
                <w:szCs w:val="20"/>
              </w:rPr>
            </w:pPr>
            <w:r>
              <w:rPr>
                <w:sz w:val="20"/>
                <w:szCs w:val="20"/>
              </w:rPr>
              <w:t xml:space="preserve">3F- New Campus 'C' / </w:t>
            </w:r>
          </w:p>
          <w:p w14:paraId="6E473FDE" w14:textId="77777777" w:rsidR="00DC531A" w:rsidRDefault="00DC531A">
            <w:pPr>
              <w:pStyle w:val="Default"/>
              <w:rPr>
                <w:sz w:val="20"/>
                <w:szCs w:val="20"/>
              </w:rPr>
            </w:pPr>
            <w:r>
              <w:rPr>
                <w:sz w:val="20"/>
                <w:szCs w:val="20"/>
              </w:rPr>
              <w:t xml:space="preserve">GF 370 Midway Office </w:t>
            </w:r>
          </w:p>
        </w:tc>
        <w:tc>
          <w:tcPr>
            <w:tcW w:w="2016" w:type="dxa"/>
          </w:tcPr>
          <w:p w14:paraId="3E6A253B" w14:textId="77777777" w:rsidR="00DC531A" w:rsidRDefault="00DC531A">
            <w:pPr>
              <w:pStyle w:val="Default"/>
              <w:rPr>
                <w:sz w:val="20"/>
                <w:szCs w:val="20"/>
              </w:rPr>
            </w:pPr>
            <w:r>
              <w:rPr>
                <w:sz w:val="20"/>
                <w:szCs w:val="20"/>
              </w:rPr>
              <w:t xml:space="preserve">Fifth Floor (Big Breakout) </w:t>
            </w:r>
          </w:p>
        </w:tc>
      </w:tr>
      <w:tr w:rsidR="00DC531A" w14:paraId="321A9EAB" w14:textId="77777777">
        <w:trPr>
          <w:trHeight w:val="620"/>
        </w:trPr>
        <w:tc>
          <w:tcPr>
            <w:tcW w:w="2016" w:type="dxa"/>
          </w:tcPr>
          <w:p w14:paraId="22C73609" w14:textId="77777777" w:rsidR="00DC531A" w:rsidRDefault="00DC531A">
            <w:pPr>
              <w:pStyle w:val="Default"/>
              <w:rPr>
                <w:sz w:val="22"/>
                <w:szCs w:val="22"/>
              </w:rPr>
            </w:pPr>
            <w:r>
              <w:rPr>
                <w:b/>
                <w:bCs/>
                <w:sz w:val="22"/>
                <w:szCs w:val="22"/>
              </w:rPr>
              <w:t xml:space="preserve">Badging Station </w:t>
            </w:r>
          </w:p>
        </w:tc>
        <w:tc>
          <w:tcPr>
            <w:tcW w:w="2016" w:type="dxa"/>
          </w:tcPr>
          <w:p w14:paraId="4F70C6C5" w14:textId="77777777" w:rsidR="00DC531A" w:rsidRDefault="00DC531A">
            <w:pPr>
              <w:pStyle w:val="Default"/>
              <w:rPr>
                <w:sz w:val="20"/>
                <w:szCs w:val="20"/>
              </w:rPr>
            </w:pPr>
            <w:r>
              <w:rPr>
                <w:sz w:val="20"/>
                <w:szCs w:val="20"/>
              </w:rPr>
              <w:t xml:space="preserve">Towers &amp; B Block – 24/7 </w:t>
            </w:r>
          </w:p>
          <w:p w14:paraId="348642B1" w14:textId="77777777" w:rsidR="00DC531A" w:rsidRDefault="00DC531A">
            <w:pPr>
              <w:pStyle w:val="Default"/>
              <w:rPr>
                <w:sz w:val="20"/>
                <w:szCs w:val="20"/>
              </w:rPr>
            </w:pPr>
            <w:r>
              <w:rPr>
                <w:sz w:val="20"/>
                <w:szCs w:val="20"/>
              </w:rPr>
              <w:t xml:space="preserve">F, G &amp; H Block – 11AM to 8PM </w:t>
            </w:r>
          </w:p>
        </w:tc>
        <w:tc>
          <w:tcPr>
            <w:tcW w:w="2016" w:type="dxa"/>
          </w:tcPr>
          <w:p w14:paraId="1DB952F3" w14:textId="77777777" w:rsidR="00DC531A" w:rsidRDefault="00DC531A">
            <w:pPr>
              <w:pStyle w:val="Default"/>
              <w:rPr>
                <w:sz w:val="20"/>
                <w:szCs w:val="20"/>
              </w:rPr>
            </w:pPr>
            <w:r>
              <w:rPr>
                <w:sz w:val="20"/>
                <w:szCs w:val="20"/>
              </w:rPr>
              <w:t xml:space="preserve">Second Floor </w:t>
            </w:r>
          </w:p>
        </w:tc>
        <w:tc>
          <w:tcPr>
            <w:tcW w:w="2016" w:type="dxa"/>
          </w:tcPr>
          <w:p w14:paraId="69AFF52A" w14:textId="77777777" w:rsidR="00DC531A" w:rsidRDefault="00DC531A">
            <w:pPr>
              <w:pStyle w:val="Default"/>
              <w:rPr>
                <w:sz w:val="20"/>
                <w:szCs w:val="20"/>
              </w:rPr>
            </w:pPr>
            <w:r>
              <w:rPr>
                <w:sz w:val="20"/>
                <w:szCs w:val="20"/>
              </w:rPr>
              <w:t xml:space="preserve">GF- New Campus behind reception/ </w:t>
            </w:r>
          </w:p>
          <w:p w14:paraId="1E5D31A3" w14:textId="77777777" w:rsidR="00DC531A" w:rsidRDefault="00DC531A">
            <w:pPr>
              <w:pStyle w:val="Default"/>
              <w:rPr>
                <w:sz w:val="20"/>
                <w:szCs w:val="20"/>
              </w:rPr>
            </w:pPr>
            <w:r>
              <w:rPr>
                <w:sz w:val="20"/>
                <w:szCs w:val="20"/>
              </w:rPr>
              <w:t xml:space="preserve">GF Midway beside mail room </w:t>
            </w:r>
          </w:p>
        </w:tc>
        <w:tc>
          <w:tcPr>
            <w:tcW w:w="2016" w:type="dxa"/>
          </w:tcPr>
          <w:p w14:paraId="78460AD6" w14:textId="77777777" w:rsidR="00DC531A" w:rsidRDefault="00DC531A">
            <w:pPr>
              <w:pStyle w:val="Default"/>
              <w:rPr>
                <w:sz w:val="20"/>
                <w:szCs w:val="20"/>
              </w:rPr>
            </w:pPr>
            <w:r>
              <w:rPr>
                <w:sz w:val="20"/>
                <w:szCs w:val="20"/>
              </w:rPr>
              <w:t xml:space="preserve">Fifth Floor </w:t>
            </w:r>
          </w:p>
        </w:tc>
      </w:tr>
      <w:tr w:rsidR="00DC531A" w14:paraId="24598841" w14:textId="77777777">
        <w:trPr>
          <w:trHeight w:val="744"/>
        </w:trPr>
        <w:tc>
          <w:tcPr>
            <w:tcW w:w="2016" w:type="dxa"/>
          </w:tcPr>
          <w:p w14:paraId="4245C164" w14:textId="77777777" w:rsidR="00DC531A" w:rsidRDefault="00DC531A">
            <w:pPr>
              <w:pStyle w:val="Default"/>
              <w:rPr>
                <w:sz w:val="22"/>
                <w:szCs w:val="22"/>
              </w:rPr>
            </w:pPr>
            <w:r>
              <w:rPr>
                <w:b/>
                <w:bCs/>
                <w:sz w:val="22"/>
                <w:szCs w:val="22"/>
              </w:rPr>
              <w:t xml:space="preserve">Keys (Operations) </w:t>
            </w:r>
          </w:p>
        </w:tc>
        <w:tc>
          <w:tcPr>
            <w:tcW w:w="2016" w:type="dxa"/>
          </w:tcPr>
          <w:p w14:paraId="0918E6CF" w14:textId="77777777" w:rsidR="00DC531A" w:rsidRDefault="00DC531A">
            <w:pPr>
              <w:pStyle w:val="Default"/>
              <w:rPr>
                <w:sz w:val="20"/>
                <w:szCs w:val="20"/>
              </w:rPr>
            </w:pPr>
            <w:r>
              <w:rPr>
                <w:sz w:val="20"/>
                <w:szCs w:val="20"/>
              </w:rPr>
              <w:t>B1F (Near Badging room), 3</w:t>
            </w:r>
            <w:r>
              <w:rPr>
                <w:sz w:val="13"/>
                <w:szCs w:val="13"/>
              </w:rPr>
              <w:t xml:space="preserve">rd </w:t>
            </w:r>
            <w:r>
              <w:rPr>
                <w:sz w:val="20"/>
                <w:szCs w:val="20"/>
              </w:rPr>
              <w:t xml:space="preserve">Floor – Middle wing at Towers 1, F8F </w:t>
            </w:r>
            <w:proofErr w:type="gramStart"/>
            <w:r>
              <w:rPr>
                <w:sz w:val="20"/>
                <w:szCs w:val="20"/>
              </w:rPr>
              <w:t>Store room</w:t>
            </w:r>
            <w:proofErr w:type="gramEnd"/>
            <w:r>
              <w:rPr>
                <w:sz w:val="20"/>
                <w:szCs w:val="20"/>
              </w:rPr>
              <w:t xml:space="preserve"> (Next to the elevator), G5F Store at C wing and H1F (Near Store Room) </w:t>
            </w:r>
          </w:p>
        </w:tc>
        <w:tc>
          <w:tcPr>
            <w:tcW w:w="2016" w:type="dxa"/>
          </w:tcPr>
          <w:p w14:paraId="1B5B3FA2" w14:textId="77777777" w:rsidR="00DC531A" w:rsidRDefault="00DC531A">
            <w:pPr>
              <w:pStyle w:val="Default"/>
              <w:rPr>
                <w:sz w:val="20"/>
                <w:szCs w:val="20"/>
              </w:rPr>
            </w:pPr>
            <w:r>
              <w:rPr>
                <w:sz w:val="20"/>
                <w:szCs w:val="20"/>
              </w:rPr>
              <w:t xml:space="preserve">Fourth Floor </w:t>
            </w:r>
          </w:p>
        </w:tc>
        <w:tc>
          <w:tcPr>
            <w:tcW w:w="2016" w:type="dxa"/>
          </w:tcPr>
          <w:p w14:paraId="16A4F8AE" w14:textId="77777777" w:rsidR="00DC531A" w:rsidRDefault="00DC531A">
            <w:pPr>
              <w:pStyle w:val="Default"/>
              <w:rPr>
                <w:sz w:val="20"/>
                <w:szCs w:val="20"/>
              </w:rPr>
            </w:pPr>
            <w:r>
              <w:rPr>
                <w:sz w:val="20"/>
                <w:szCs w:val="20"/>
              </w:rPr>
              <w:t xml:space="preserve">GF- New Campus behind reception / </w:t>
            </w:r>
          </w:p>
          <w:p w14:paraId="51E4E1FC" w14:textId="77777777" w:rsidR="00DC531A" w:rsidRDefault="00DC531A">
            <w:pPr>
              <w:pStyle w:val="Default"/>
              <w:rPr>
                <w:sz w:val="20"/>
                <w:szCs w:val="20"/>
              </w:rPr>
            </w:pPr>
            <w:r>
              <w:rPr>
                <w:sz w:val="20"/>
                <w:szCs w:val="20"/>
              </w:rPr>
              <w:t xml:space="preserve">GF 08 Midway Office </w:t>
            </w:r>
          </w:p>
        </w:tc>
        <w:tc>
          <w:tcPr>
            <w:tcW w:w="2016" w:type="dxa"/>
          </w:tcPr>
          <w:p w14:paraId="54BE51EB" w14:textId="77777777" w:rsidR="00DC531A" w:rsidRDefault="00DC531A">
            <w:pPr>
              <w:pStyle w:val="Default"/>
              <w:rPr>
                <w:sz w:val="20"/>
                <w:szCs w:val="20"/>
              </w:rPr>
            </w:pPr>
            <w:r>
              <w:rPr>
                <w:sz w:val="20"/>
                <w:szCs w:val="20"/>
              </w:rPr>
              <w:t xml:space="preserve">Second Floor </w:t>
            </w:r>
          </w:p>
        </w:tc>
      </w:tr>
      <w:tr w:rsidR="00DC531A" w14:paraId="7E6EB587" w14:textId="77777777">
        <w:trPr>
          <w:trHeight w:val="619"/>
        </w:trPr>
        <w:tc>
          <w:tcPr>
            <w:tcW w:w="2016" w:type="dxa"/>
          </w:tcPr>
          <w:p w14:paraId="19CCDDF6" w14:textId="77777777" w:rsidR="00DC531A" w:rsidRDefault="00DC531A">
            <w:pPr>
              <w:pStyle w:val="Default"/>
              <w:rPr>
                <w:sz w:val="22"/>
                <w:szCs w:val="22"/>
              </w:rPr>
            </w:pPr>
            <w:r>
              <w:rPr>
                <w:b/>
                <w:bCs/>
                <w:sz w:val="22"/>
                <w:szCs w:val="22"/>
              </w:rPr>
              <w:t xml:space="preserve">CE Gym </w:t>
            </w:r>
          </w:p>
        </w:tc>
        <w:tc>
          <w:tcPr>
            <w:tcW w:w="2016" w:type="dxa"/>
          </w:tcPr>
          <w:p w14:paraId="636BF09F" w14:textId="77777777" w:rsidR="00DC531A" w:rsidRDefault="00DC531A">
            <w:pPr>
              <w:pStyle w:val="Default"/>
              <w:rPr>
                <w:sz w:val="20"/>
                <w:szCs w:val="20"/>
              </w:rPr>
            </w:pPr>
            <w:r>
              <w:rPr>
                <w:sz w:val="20"/>
                <w:szCs w:val="20"/>
              </w:rPr>
              <w:t xml:space="preserve">B1F, Towers 1 – T15F North Wing </w:t>
            </w:r>
          </w:p>
        </w:tc>
        <w:tc>
          <w:tcPr>
            <w:tcW w:w="2016" w:type="dxa"/>
          </w:tcPr>
          <w:p w14:paraId="3EFADDD3" w14:textId="77777777" w:rsidR="00DC531A" w:rsidRDefault="00DC531A">
            <w:pPr>
              <w:pStyle w:val="Default"/>
              <w:rPr>
                <w:sz w:val="20"/>
                <w:szCs w:val="20"/>
              </w:rPr>
            </w:pPr>
            <w:r>
              <w:rPr>
                <w:sz w:val="20"/>
                <w:szCs w:val="20"/>
              </w:rPr>
              <w:t xml:space="preserve">Fifth Floor </w:t>
            </w:r>
          </w:p>
        </w:tc>
        <w:tc>
          <w:tcPr>
            <w:tcW w:w="2016" w:type="dxa"/>
          </w:tcPr>
          <w:p w14:paraId="391CCE3B" w14:textId="77777777" w:rsidR="00DC531A" w:rsidRDefault="00DC531A">
            <w:pPr>
              <w:pStyle w:val="Default"/>
              <w:rPr>
                <w:sz w:val="20"/>
                <w:szCs w:val="20"/>
              </w:rPr>
            </w:pPr>
            <w:r>
              <w:rPr>
                <w:sz w:val="20"/>
                <w:szCs w:val="20"/>
              </w:rPr>
              <w:t xml:space="preserve">GF- New Campus behind reception / </w:t>
            </w:r>
          </w:p>
          <w:p w14:paraId="21207A76" w14:textId="77777777" w:rsidR="00DC531A" w:rsidRDefault="00DC531A">
            <w:pPr>
              <w:pStyle w:val="Default"/>
              <w:rPr>
                <w:sz w:val="20"/>
                <w:szCs w:val="20"/>
              </w:rPr>
            </w:pPr>
            <w:r>
              <w:rPr>
                <w:sz w:val="20"/>
                <w:szCs w:val="20"/>
              </w:rPr>
              <w:t xml:space="preserve">GF </w:t>
            </w:r>
            <w:proofErr w:type="spellStart"/>
            <w:r>
              <w:rPr>
                <w:sz w:val="20"/>
                <w:szCs w:val="20"/>
              </w:rPr>
              <w:t>Bandaje</w:t>
            </w:r>
            <w:proofErr w:type="spellEnd"/>
            <w:r>
              <w:rPr>
                <w:sz w:val="20"/>
                <w:szCs w:val="20"/>
              </w:rPr>
              <w:t xml:space="preserve"> Midway Office </w:t>
            </w:r>
          </w:p>
        </w:tc>
        <w:tc>
          <w:tcPr>
            <w:tcW w:w="2016" w:type="dxa"/>
          </w:tcPr>
          <w:p w14:paraId="7606D037" w14:textId="77777777" w:rsidR="00DC531A" w:rsidRDefault="00DC531A">
            <w:pPr>
              <w:pStyle w:val="Default"/>
              <w:rPr>
                <w:sz w:val="20"/>
                <w:szCs w:val="20"/>
              </w:rPr>
            </w:pPr>
            <w:r>
              <w:rPr>
                <w:sz w:val="20"/>
                <w:szCs w:val="20"/>
              </w:rPr>
              <w:t xml:space="preserve">Ground Floor </w:t>
            </w:r>
          </w:p>
        </w:tc>
      </w:tr>
    </w:tbl>
    <w:p w14:paraId="58A0FA13" w14:textId="77777777" w:rsidR="00DC531A" w:rsidRDefault="00DC531A" w:rsidP="00DC531A"/>
    <w:p w14:paraId="3B0E09E0" w14:textId="77777777" w:rsidR="00DC531A" w:rsidRDefault="00DC531A" w:rsidP="00DC531A"/>
    <w:p w14:paraId="4EBAB3F5" w14:textId="54961053" w:rsidR="00DC531A" w:rsidRDefault="00DC531A" w:rsidP="00DC531A">
      <w:r>
        <w:object w:dxaOrig="1516" w:dyaOrig="987" w14:anchorId="0898C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4" o:title=""/>
          </v:shape>
          <o:OLEObject Type="Embed" ProgID="Package" ShapeID="_x0000_i1025" DrawAspect="Icon" ObjectID="_1667941401" r:id="rId5"/>
        </w:object>
      </w:r>
      <w:r w:rsidR="002E7C1D">
        <w:object w:dxaOrig="1516" w:dyaOrig="987" w14:anchorId="2E72470E">
          <v:shape id="_x0000_i1040" type="#_x0000_t75" style="width:75.6pt;height:49.2pt" o:ole="">
            <v:imagedata r:id="rId6" o:title=""/>
          </v:shape>
          <o:OLEObject Type="Embed" ProgID="Package" ShapeID="_x0000_i1040" DrawAspect="Icon" ObjectID="_1667941402" r:id="rId7"/>
        </w:object>
      </w:r>
      <w:r w:rsidR="002E7C1D">
        <w:object w:dxaOrig="1516" w:dyaOrig="987" w14:anchorId="711CB4C8">
          <v:shape id="_x0000_i1039" type="#_x0000_t75" style="width:75.6pt;height:49.2pt" o:ole="">
            <v:imagedata r:id="rId8" o:title=""/>
          </v:shape>
          <o:OLEObject Type="Embed" ProgID="Package" ShapeID="_x0000_i1039" DrawAspect="Icon" ObjectID="_1667941403" r:id="rId9"/>
        </w:object>
      </w:r>
      <w:r w:rsidR="002E7C1D">
        <w:object w:dxaOrig="1516" w:dyaOrig="987" w14:anchorId="75504E8B">
          <v:shape id="_x0000_i1038" type="#_x0000_t75" style="width:75.6pt;height:49.2pt" o:ole="">
            <v:imagedata r:id="rId10" o:title=""/>
          </v:shape>
          <o:OLEObject Type="Embed" ProgID="Package" ShapeID="_x0000_i1038" DrawAspect="Icon" ObjectID="_1667941404" r:id="rId11"/>
        </w:object>
      </w:r>
      <w:r w:rsidR="002E7C1D">
        <w:object w:dxaOrig="1516" w:dyaOrig="987" w14:anchorId="24E22E4C">
          <v:shape id="_x0000_i1037" type="#_x0000_t75" style="width:75.6pt;height:49.2pt" o:ole="">
            <v:imagedata r:id="rId12" o:title=""/>
          </v:shape>
          <o:OLEObject Type="Embed" ProgID="Package" ShapeID="_x0000_i1037" DrawAspect="Icon" ObjectID="_1667941405" r:id="rId13"/>
        </w:object>
      </w:r>
      <w:r w:rsidR="002E7C1D">
        <w:object w:dxaOrig="1516" w:dyaOrig="987" w14:anchorId="1416E092">
          <v:shape id="_x0000_i1036" type="#_x0000_t75" style="width:75.6pt;height:49.2pt" o:ole="">
            <v:imagedata r:id="rId14" o:title=""/>
          </v:shape>
          <o:OLEObject Type="Embed" ProgID="Package" ShapeID="_x0000_i1036" DrawAspect="Icon" ObjectID="_1667941406" r:id="rId15"/>
        </w:object>
      </w:r>
      <w:r w:rsidR="002E7C1D">
        <w:object w:dxaOrig="1516" w:dyaOrig="987" w14:anchorId="4CB1F50A">
          <v:shape id="_x0000_i1035" type="#_x0000_t75" style="width:75.6pt;height:49.2pt" o:ole="">
            <v:imagedata r:id="rId16" o:title=""/>
          </v:shape>
          <o:OLEObject Type="Embed" ProgID="Package" ShapeID="_x0000_i1035" DrawAspect="Icon" ObjectID="_1667941407" r:id="rId17"/>
        </w:object>
      </w:r>
      <w:r w:rsidR="002E7C1D">
        <w:object w:dxaOrig="1516" w:dyaOrig="987" w14:anchorId="62125CB8">
          <v:shape id="_x0000_i1034" type="#_x0000_t75" style="width:75.6pt;height:49.2pt" o:ole="">
            <v:imagedata r:id="rId18" o:title=""/>
          </v:shape>
          <o:OLEObject Type="Embed" ProgID="Package" ShapeID="_x0000_i1034" DrawAspect="Icon" ObjectID="_1667941408" r:id="rId19"/>
        </w:object>
      </w:r>
      <w:r w:rsidR="002E7C1D">
        <w:object w:dxaOrig="1516" w:dyaOrig="987" w14:anchorId="757BE1BF">
          <v:shape id="_x0000_i1033" type="#_x0000_t75" style="width:75.6pt;height:49.2pt" o:ole="">
            <v:imagedata r:id="rId20" o:title=""/>
          </v:shape>
          <o:OLEObject Type="Embed" ProgID="Package" ShapeID="_x0000_i1033" DrawAspect="Icon" ObjectID="_1667941409" r:id="rId21"/>
        </w:object>
      </w:r>
      <w:r w:rsidR="002E7C1D">
        <w:object w:dxaOrig="1516" w:dyaOrig="987" w14:anchorId="2C905399">
          <v:shape id="_x0000_i1032" type="#_x0000_t75" style="width:75.6pt;height:49.2pt" o:ole="">
            <v:imagedata r:id="rId22" o:title=""/>
          </v:shape>
          <o:OLEObject Type="Embed" ProgID="Package" ShapeID="_x0000_i1032" DrawAspect="Icon" ObjectID="_1667941410" r:id="rId23"/>
        </w:object>
      </w:r>
      <w:r w:rsidR="002E7C1D">
        <w:object w:dxaOrig="1516" w:dyaOrig="987" w14:anchorId="37E3EE1F">
          <v:shape id="_x0000_i1031" type="#_x0000_t75" style="width:75.6pt;height:49.2pt" o:ole="">
            <v:imagedata r:id="rId24" o:title=""/>
          </v:shape>
          <o:OLEObject Type="Embed" ProgID="Package" ShapeID="_x0000_i1031" DrawAspect="Icon" ObjectID="_1667941411" r:id="rId25"/>
        </w:object>
      </w:r>
      <w:r w:rsidR="002E7C1D">
        <w:object w:dxaOrig="1516" w:dyaOrig="987" w14:anchorId="3E32F76D">
          <v:shape id="_x0000_i1030" type="#_x0000_t75" style="width:75.6pt;height:49.2pt" o:ole="">
            <v:imagedata r:id="rId26" o:title=""/>
          </v:shape>
          <o:OLEObject Type="Embed" ProgID="Package" ShapeID="_x0000_i1030" DrawAspect="Icon" ObjectID="_1667941412" r:id="rId27"/>
        </w:object>
      </w:r>
      <w:r w:rsidR="002E7C1D">
        <w:object w:dxaOrig="1516" w:dyaOrig="987" w14:anchorId="444AD41C">
          <v:shape id="_x0000_i1029" type="#_x0000_t75" style="width:75.6pt;height:49.2pt" o:ole="">
            <v:imagedata r:id="rId28" o:title=""/>
          </v:shape>
          <o:OLEObject Type="Embed" ProgID="Package" ShapeID="_x0000_i1029" DrawAspect="Icon" ObjectID="_1667941413" r:id="rId29"/>
        </w:object>
      </w:r>
      <w:r w:rsidR="002E7C1D">
        <w:object w:dxaOrig="1516" w:dyaOrig="987" w14:anchorId="05B802E7">
          <v:shape id="_x0000_i1028" type="#_x0000_t75" style="width:75.6pt;height:49.2pt" o:ole="">
            <v:imagedata r:id="rId30" o:title=""/>
          </v:shape>
          <o:OLEObject Type="Embed" ProgID="Package" ShapeID="_x0000_i1028" DrawAspect="Icon" ObjectID="_1667941414" r:id="rId31"/>
        </w:object>
      </w:r>
      <w:r w:rsidR="002E7C1D">
        <w:object w:dxaOrig="1516" w:dyaOrig="987" w14:anchorId="7F540B64">
          <v:shape id="_x0000_i1027" type="#_x0000_t75" style="width:75.6pt;height:49.2pt" o:ole="">
            <v:imagedata r:id="rId32" o:title=""/>
          </v:shape>
          <o:OLEObject Type="Embed" ProgID="Package" ShapeID="_x0000_i1027" DrawAspect="Icon" ObjectID="_1667941415" r:id="rId33"/>
        </w:object>
      </w:r>
      <w:r w:rsidR="002E7C1D">
        <w:object w:dxaOrig="1516" w:dyaOrig="987" w14:anchorId="5645F35D">
          <v:shape id="_x0000_i1026" type="#_x0000_t75" style="width:75.6pt;height:49.2pt" o:ole="">
            <v:imagedata r:id="rId34" o:title=""/>
          </v:shape>
          <o:OLEObject Type="Embed" ProgID="Package" ShapeID="_x0000_i1026" DrawAspect="Icon" ObjectID="_1667941416" r:id="rId35"/>
        </w:object>
      </w:r>
      <w:bookmarkStart w:id="0" w:name="_GoBack"/>
      <w:bookmarkEnd w:id="0"/>
    </w:p>
    <w:p w14:paraId="0A7474D8" w14:textId="77777777" w:rsidR="00DC531A" w:rsidRDefault="00DC531A" w:rsidP="00DC531A"/>
    <w:p w14:paraId="2AB76B30" w14:textId="54B49CCB" w:rsidR="00F30D8D" w:rsidRPr="00DC531A" w:rsidRDefault="00F30D8D" w:rsidP="00DC531A"/>
    <w:sectPr w:rsidR="00F30D8D" w:rsidRPr="00DC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1A"/>
    <w:rsid w:val="002E7C1D"/>
    <w:rsid w:val="00DC531A"/>
    <w:rsid w:val="00F3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5536"/>
  <w15:chartTrackingRefBased/>
  <w15:docId w15:val="{8546B34E-7143-434C-B85D-4FD69378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53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emf"/><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Amit Kumar K</dc:creator>
  <cp:keywords/>
  <dc:description/>
  <cp:lastModifiedBy>Pradhan, Amit Kumar K</cp:lastModifiedBy>
  <cp:revision>2</cp:revision>
  <dcterms:created xsi:type="dcterms:W3CDTF">2020-11-26T07:25:00Z</dcterms:created>
  <dcterms:modified xsi:type="dcterms:W3CDTF">2020-11-26T18:46:00Z</dcterms:modified>
</cp:coreProperties>
</file>