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Cloud Computing: IaaS, PaaS, and SaaS</w:t>
      </w:r>
    </w:p>
    <w:p>
      <w:pPr>
        <w:spacing w:after="400"/>
      </w:pPr>
      <w:r>
        <w:rPr>
          <w:i/>
          <w:iCs/>
          <w:color w:val="595959"/>
        </w:rPr>
        <w:t xml:space="preserve">Writing Assignment — High Performance Computing</w:t>
      </w:r>
    </w:p>
    <w:p>
      <w:pPr>
        <w:pStyle w:val="Heading1"/>
      </w:pPr>
      <w:r>
        <w:t xml:space="preserve">1. What Is Cloud Computing?</w:t>
      </w:r>
    </w:p>
    <w:p>
      <w:pPr>
        <w:spacing w:after="200"/>
      </w:pPr>
      <w:r>
        <w:t xml:space="preserve">Cloud computing is the on-demand delivery of computing resources — servers, storage, databases, networking, software — over the internet, with usage-based pricing instead of large upfront hardware investment. Rather than an organization buying, housing, and maintaining physical servers, a cloud provider (such as AWS, Microsoft Azure, or Google Cloud) owns and operates the underlying data centers, and customers rent capacity as they need it.</w:t>
      </w:r>
    </w:p>
    <w:p>
      <w:pPr>
        <w:spacing w:after="300"/>
      </w:pPr>
      <w:r>
        <w:t xml:space="preserve">This directly connects to the HPC theme of this course: cloud computing is essentially how HPC-style resources (many machines, huge storage, elastic compute power) are made accessible to any organization without them needing to own a supercomputer.</w:t>
      </w:r>
    </w:p>
    <w:p>
      <w:pPr>
        <w:pStyle w:val="Heading2"/>
      </w:pPr>
      <w:r>
        <w:t xml:space="preserve">1.1 Key Characteristics</w:t>
      </w:r>
    </w:p>
    <w:p>
      <w:pPr>
        <w:pStyle w:val="ListParagraph"/>
        <w:numPr>
          <w:ilvl w:val="0"/>
          <w:numId w:val="2"/>
        </w:numPr>
        <w:spacing w:after="80"/>
      </w:pPr>
      <w:r>
        <w:t xml:space="preserve">On-demand self-service — provision resources automatically, without human interaction with the provider</w:t>
      </w:r>
    </w:p>
    <w:p>
      <w:pPr>
        <w:pStyle w:val="ListParagraph"/>
        <w:numPr>
          <w:ilvl w:val="0"/>
          <w:numId w:val="2"/>
        </w:numPr>
        <w:spacing w:after="80"/>
      </w:pPr>
      <w:r>
        <w:t xml:space="preserve">Broad network access — available over the internet from any device</w:t>
      </w:r>
    </w:p>
    <w:p>
      <w:pPr>
        <w:pStyle w:val="ListParagraph"/>
        <w:numPr>
          <w:ilvl w:val="0"/>
          <w:numId w:val="2"/>
        </w:numPr>
        <w:spacing w:after="80"/>
      </w:pPr>
      <w:r>
        <w:t xml:space="preserve">Resource pooling — the provider's resources are shared across many customers (multi-tenancy)</w:t>
      </w:r>
    </w:p>
    <w:p>
      <w:pPr>
        <w:pStyle w:val="ListParagraph"/>
        <w:numPr>
          <w:ilvl w:val="0"/>
          <w:numId w:val="2"/>
        </w:numPr>
        <w:spacing w:after="80"/>
      </w:pPr>
      <w:r>
        <w:t xml:space="preserve">Rapid elasticity — resources can scale up or down quickly to match demand</w:t>
      </w:r>
    </w:p>
    <w:p>
      <w:pPr>
        <w:pStyle w:val="ListParagraph"/>
        <w:numPr>
          <w:ilvl w:val="0"/>
          <w:numId w:val="2"/>
        </w:numPr>
        <w:spacing w:after="80"/>
      </w:pPr>
      <w:r>
        <w:t xml:space="preserve">Measured service — usage is metered and billed, similar to a utility (pay only for what you use)</w:t>
      </w:r>
    </w:p>
    <w:p>
      <w:pPr>
        <w:pStyle w:val="Heading1"/>
        <w:spacing w:before="300"/>
      </w:pPr>
      <w:r>
        <w:t xml:space="preserve">2. The Three Core Service Models</w:t>
      </w:r>
    </w:p>
    <w:p>
      <w:pPr>
        <w:spacing w:after="250"/>
      </w:pPr>
      <w:r>
        <w:t xml:space="preserve">Cloud services are usually organized into three layers, distinguished by how much of the technology stack the provider manages versus how much the customer manages. A useful way to remember it: as you move from IaaS to PaaS to SaaS, the provider takes over more of the stack, and the customer's responsibility (and flexibility) shrinks.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2E5395" w:val="clear"/>
            <w:tcMar>
              <w:top w:type="dxa" w:w="100"/>
              <w:left w:type="dxa" w:w="120"/>
              <w:bottom w:type="dxa" w:w="100"/>
              <w:right w:type="dxa" w:w="120"/>
            </w:tcMar>
          </w:tcPr>
          <w:p>
            <w:r>
              <w:rPr>
                <w:b/>
                <w:bCs/>
                <w:color w:val="FFFFFF"/>
              </w:rPr>
              <w:t xml:space="preserve">Layer</w:t>
            </w:r>
          </w:p>
        </w:tc>
        <w:tc>
          <w:tcPr>
            <w:tcW w:type="dxa" w:w="2400"/>
            <w:shd w:fill="2E5395" w:val="clear"/>
            <w:tcMar>
              <w:top w:type="dxa" w:w="100"/>
              <w:left w:type="dxa" w:w="120"/>
              <w:bottom w:type="dxa" w:w="100"/>
              <w:right w:type="dxa" w:w="120"/>
            </w:tcMar>
          </w:tcPr>
          <w:p>
            <w:r>
              <w:rPr>
                <w:b/>
                <w:bCs/>
                <w:color w:val="FFFFFF"/>
              </w:rPr>
              <w:t xml:space="preserve">IaaS</w:t>
            </w:r>
          </w:p>
        </w:tc>
        <w:tc>
          <w:tcPr>
            <w:tcW w:type="dxa" w:w="2400"/>
            <w:shd w:fill="2E5395" w:val="clear"/>
            <w:tcMar>
              <w:top w:type="dxa" w:w="100"/>
              <w:left w:type="dxa" w:w="120"/>
              <w:bottom w:type="dxa" w:w="100"/>
              <w:right w:type="dxa" w:w="120"/>
            </w:tcMar>
          </w:tcPr>
          <w:p>
            <w:r>
              <w:rPr>
                <w:b/>
                <w:bCs/>
                <w:color w:val="FFFFFF"/>
              </w:rPr>
              <w:t xml:space="preserve">PaaS</w:t>
            </w:r>
          </w:p>
        </w:tc>
        <w:tc>
          <w:tcPr>
            <w:tcW w:type="dxa" w:w="2400"/>
            <w:shd w:fill="2E5395" w:val="clear"/>
            <w:tcMar>
              <w:top w:type="dxa" w:w="100"/>
              <w:left w:type="dxa" w:w="120"/>
              <w:bottom w:type="dxa" w:w="100"/>
              <w:right w:type="dxa" w:w="120"/>
            </w:tcMar>
          </w:tcPr>
          <w:p>
            <w:r>
              <w:rPr>
                <w:b/>
                <w:bCs/>
                <w:color w:val="FFFFFF"/>
              </w:rPr>
              <w:t xml:space="preserve">SaaS</w:t>
            </w:r>
          </w:p>
        </w:tc>
      </w:tr>
      <w:tr>
        <w:tc>
          <w:tcPr>
            <w:tcW w:type="dxa" w:w="2400"/>
            <w:tcMar>
              <w:top w:type="dxa" w:w="100"/>
              <w:left w:type="dxa" w:w="120"/>
              <w:bottom w:type="dxa" w:w="100"/>
              <w:right w:type="dxa" w:w="120"/>
            </w:tcMar>
          </w:tcPr>
          <w:p>
            <w:r>
              <w:rPr>
                <w:b/>
                <w:bCs/>
              </w:rPr>
              <w:t xml:space="preserve">Application</w:t>
            </w:r>
          </w:p>
        </w:tc>
        <w:tc>
          <w:tcPr>
            <w:tcW w:type="dxa" w:w="2400"/>
            <w:shd w:fill="FDE9D9" w:val="clear"/>
            <w:tcMar>
              <w:top w:type="dxa" w:w="100"/>
              <w:left w:type="dxa" w:w="120"/>
              <w:bottom w:type="dxa" w:w="100"/>
              <w:right w:type="dxa" w:w="120"/>
            </w:tcMar>
          </w:tcPr>
          <w:p>
            <w:r>
              <w:rPr>
                <w:b w:val="false"/>
                <w:bCs w:val="false"/>
              </w:rPr>
              <w:t xml:space="preserve">You manage</w:t>
            </w:r>
          </w:p>
        </w:tc>
        <w:tc>
          <w:tcPr>
            <w:tcW w:type="dxa" w:w="2400"/>
            <w:shd w:fill="FDE9D9" w:val="clear"/>
            <w:tcMar>
              <w:top w:type="dxa" w:w="100"/>
              <w:left w:type="dxa" w:w="120"/>
              <w:bottom w:type="dxa" w:w="100"/>
              <w:right w:type="dxa" w:w="120"/>
            </w:tcMar>
          </w:tcPr>
          <w:p>
            <w:r>
              <w:rPr>
                <w:b w:val="false"/>
                <w:bCs w:val="false"/>
              </w:rPr>
              <w:t xml:space="preserve">You manage</w:t>
            </w:r>
          </w:p>
        </w:tc>
        <w:tc>
          <w:tcPr>
            <w:tcW w:type="dxa" w:w="2400"/>
            <w:shd w:fill="DDEBF7" w:val="clear"/>
            <w:tcMar>
              <w:top w:type="dxa" w:w="100"/>
              <w:left w:type="dxa" w:w="120"/>
              <w:bottom w:type="dxa" w:w="100"/>
              <w:right w:type="dxa" w:w="120"/>
            </w:tcMar>
          </w:tcPr>
          <w:p>
            <w:r>
              <w:rPr>
                <w:b w:val="false"/>
                <w:bCs w:val="false"/>
              </w:rPr>
              <w:t xml:space="preserve">Provider manages</w:t>
            </w:r>
          </w:p>
        </w:tc>
      </w:tr>
      <w:tr>
        <w:tc>
          <w:tcPr>
            <w:tcW w:type="dxa" w:w="2400"/>
            <w:tcMar>
              <w:top w:type="dxa" w:w="100"/>
              <w:left w:type="dxa" w:w="120"/>
              <w:bottom w:type="dxa" w:w="100"/>
              <w:right w:type="dxa" w:w="120"/>
            </w:tcMar>
          </w:tcPr>
          <w:p>
            <w:r>
              <w:rPr>
                <w:b/>
                <w:bCs/>
              </w:rPr>
              <w:t xml:space="preserve">Data / Runtime</w:t>
            </w:r>
          </w:p>
        </w:tc>
        <w:tc>
          <w:tcPr>
            <w:tcW w:type="dxa" w:w="2400"/>
            <w:shd w:fill="FDE9D9" w:val="clear"/>
            <w:tcMar>
              <w:top w:type="dxa" w:w="100"/>
              <w:left w:type="dxa" w:w="120"/>
              <w:bottom w:type="dxa" w:w="100"/>
              <w:right w:type="dxa" w:w="120"/>
            </w:tcMar>
          </w:tcPr>
          <w:p>
            <w:r>
              <w:rPr>
                <w:b w:val="false"/>
                <w:bCs w:val="false"/>
              </w:rPr>
              <w:t xml:space="preserve">You manage</w:t>
            </w:r>
          </w:p>
        </w:tc>
        <w:tc>
          <w:tcPr>
            <w:tcW w:type="dxa" w:w="2400"/>
            <w:shd w:fill="DDEBF7" w:val="clear"/>
            <w:tcMar>
              <w:top w:type="dxa" w:w="100"/>
              <w:left w:type="dxa" w:w="120"/>
              <w:bottom w:type="dxa" w:w="100"/>
              <w:right w:type="dxa" w:w="120"/>
            </w:tcMar>
          </w:tcPr>
          <w:p>
            <w:r>
              <w:rPr>
                <w:b w:val="false"/>
                <w:bCs w:val="false"/>
              </w:rPr>
              <w:t xml:space="preserve">Provider manages</w:t>
            </w:r>
          </w:p>
        </w:tc>
        <w:tc>
          <w:tcPr>
            <w:tcW w:type="dxa" w:w="2400"/>
            <w:shd w:fill="DDEBF7" w:val="clear"/>
            <w:tcMar>
              <w:top w:type="dxa" w:w="100"/>
              <w:left w:type="dxa" w:w="120"/>
              <w:bottom w:type="dxa" w:w="100"/>
              <w:right w:type="dxa" w:w="120"/>
            </w:tcMar>
          </w:tcPr>
          <w:p>
            <w:r>
              <w:rPr>
                <w:b w:val="false"/>
                <w:bCs w:val="false"/>
              </w:rPr>
              <w:t xml:space="preserve">Provider manages</w:t>
            </w:r>
          </w:p>
        </w:tc>
      </w:tr>
      <w:tr>
        <w:tc>
          <w:tcPr>
            <w:tcW w:type="dxa" w:w="2400"/>
            <w:tcMar>
              <w:top w:type="dxa" w:w="100"/>
              <w:left w:type="dxa" w:w="120"/>
              <w:bottom w:type="dxa" w:w="100"/>
              <w:right w:type="dxa" w:w="120"/>
            </w:tcMar>
          </w:tcPr>
          <w:p>
            <w:r>
              <w:rPr>
                <w:b/>
                <w:bCs/>
              </w:rPr>
              <w:t xml:space="preserve">Middleware / OS</w:t>
            </w:r>
          </w:p>
        </w:tc>
        <w:tc>
          <w:tcPr>
            <w:tcW w:type="dxa" w:w="2400"/>
            <w:shd w:fill="FDE9D9" w:val="clear"/>
            <w:tcMar>
              <w:top w:type="dxa" w:w="100"/>
              <w:left w:type="dxa" w:w="120"/>
              <w:bottom w:type="dxa" w:w="100"/>
              <w:right w:type="dxa" w:w="120"/>
            </w:tcMar>
          </w:tcPr>
          <w:p>
            <w:r>
              <w:rPr>
                <w:b w:val="false"/>
                <w:bCs w:val="false"/>
              </w:rPr>
              <w:t xml:space="preserve">You manage</w:t>
            </w:r>
          </w:p>
        </w:tc>
        <w:tc>
          <w:tcPr>
            <w:tcW w:type="dxa" w:w="2400"/>
            <w:shd w:fill="DDEBF7" w:val="clear"/>
            <w:tcMar>
              <w:top w:type="dxa" w:w="100"/>
              <w:left w:type="dxa" w:w="120"/>
              <w:bottom w:type="dxa" w:w="100"/>
              <w:right w:type="dxa" w:w="120"/>
            </w:tcMar>
          </w:tcPr>
          <w:p>
            <w:r>
              <w:rPr>
                <w:b w:val="false"/>
                <w:bCs w:val="false"/>
              </w:rPr>
              <w:t xml:space="preserve">Provider manages</w:t>
            </w:r>
          </w:p>
        </w:tc>
        <w:tc>
          <w:tcPr>
            <w:tcW w:type="dxa" w:w="2400"/>
            <w:shd w:fill="DDEBF7" w:val="clear"/>
            <w:tcMar>
              <w:top w:type="dxa" w:w="100"/>
              <w:left w:type="dxa" w:w="120"/>
              <w:bottom w:type="dxa" w:w="100"/>
              <w:right w:type="dxa" w:w="120"/>
            </w:tcMar>
          </w:tcPr>
          <w:p>
            <w:r>
              <w:rPr>
                <w:b w:val="false"/>
                <w:bCs w:val="false"/>
              </w:rPr>
              <w:t xml:space="preserve">Provider manages</w:t>
            </w:r>
          </w:p>
        </w:tc>
      </w:tr>
      <w:tr>
        <w:tc>
          <w:tcPr>
            <w:tcW w:type="dxa" w:w="2400"/>
            <w:tcMar>
              <w:top w:type="dxa" w:w="100"/>
              <w:left w:type="dxa" w:w="120"/>
              <w:bottom w:type="dxa" w:w="100"/>
              <w:right w:type="dxa" w:w="120"/>
            </w:tcMar>
          </w:tcPr>
          <w:p>
            <w:r>
              <w:rPr>
                <w:b/>
                <w:bCs/>
              </w:rPr>
              <w:t xml:space="preserve">Virtualization</w:t>
            </w:r>
          </w:p>
        </w:tc>
        <w:tc>
          <w:tcPr>
            <w:tcW w:type="dxa" w:w="2400"/>
            <w:shd w:fill="DDEBF7" w:val="clear"/>
            <w:tcMar>
              <w:top w:type="dxa" w:w="100"/>
              <w:left w:type="dxa" w:w="120"/>
              <w:bottom w:type="dxa" w:w="100"/>
              <w:right w:type="dxa" w:w="120"/>
            </w:tcMar>
          </w:tcPr>
          <w:p>
            <w:r>
              <w:rPr>
                <w:b w:val="false"/>
                <w:bCs w:val="false"/>
              </w:rPr>
              <w:t xml:space="preserve">Provider manages</w:t>
            </w:r>
          </w:p>
        </w:tc>
        <w:tc>
          <w:tcPr>
            <w:tcW w:type="dxa" w:w="2400"/>
            <w:shd w:fill="DDEBF7" w:val="clear"/>
            <w:tcMar>
              <w:top w:type="dxa" w:w="100"/>
              <w:left w:type="dxa" w:w="120"/>
              <w:bottom w:type="dxa" w:w="100"/>
              <w:right w:type="dxa" w:w="120"/>
            </w:tcMar>
          </w:tcPr>
          <w:p>
            <w:r>
              <w:rPr>
                <w:b w:val="false"/>
                <w:bCs w:val="false"/>
              </w:rPr>
              <w:t xml:space="preserve">Provider manages</w:t>
            </w:r>
          </w:p>
        </w:tc>
        <w:tc>
          <w:tcPr>
            <w:tcW w:type="dxa" w:w="2400"/>
            <w:shd w:fill="DDEBF7" w:val="clear"/>
            <w:tcMar>
              <w:top w:type="dxa" w:w="100"/>
              <w:left w:type="dxa" w:w="120"/>
              <w:bottom w:type="dxa" w:w="100"/>
              <w:right w:type="dxa" w:w="120"/>
            </w:tcMar>
          </w:tcPr>
          <w:p>
            <w:r>
              <w:rPr>
                <w:b w:val="false"/>
                <w:bCs w:val="false"/>
              </w:rPr>
              <w:t xml:space="preserve">Provider manages</w:t>
            </w:r>
          </w:p>
        </w:tc>
      </w:tr>
      <w:tr>
        <w:tc>
          <w:tcPr>
            <w:tcW w:type="dxa" w:w="2400"/>
            <w:tcMar>
              <w:top w:type="dxa" w:w="100"/>
              <w:left w:type="dxa" w:w="120"/>
              <w:bottom w:type="dxa" w:w="100"/>
              <w:right w:type="dxa" w:w="120"/>
            </w:tcMar>
          </w:tcPr>
          <w:p>
            <w:r>
              <w:rPr>
                <w:b/>
                <w:bCs/>
              </w:rPr>
              <w:t xml:space="preserve">Servers / Storage / Network</w:t>
            </w:r>
          </w:p>
        </w:tc>
        <w:tc>
          <w:tcPr>
            <w:tcW w:type="dxa" w:w="2400"/>
            <w:shd w:fill="DDEBF7" w:val="clear"/>
            <w:tcMar>
              <w:top w:type="dxa" w:w="100"/>
              <w:left w:type="dxa" w:w="120"/>
              <w:bottom w:type="dxa" w:w="100"/>
              <w:right w:type="dxa" w:w="120"/>
            </w:tcMar>
          </w:tcPr>
          <w:p>
            <w:r>
              <w:rPr>
                <w:b w:val="false"/>
                <w:bCs w:val="false"/>
              </w:rPr>
              <w:t xml:space="preserve">Provider manages</w:t>
            </w:r>
          </w:p>
        </w:tc>
        <w:tc>
          <w:tcPr>
            <w:tcW w:type="dxa" w:w="2400"/>
            <w:shd w:fill="DDEBF7" w:val="clear"/>
            <w:tcMar>
              <w:top w:type="dxa" w:w="100"/>
              <w:left w:type="dxa" w:w="120"/>
              <w:bottom w:type="dxa" w:w="100"/>
              <w:right w:type="dxa" w:w="120"/>
            </w:tcMar>
          </w:tcPr>
          <w:p>
            <w:r>
              <w:rPr>
                <w:b w:val="false"/>
                <w:bCs w:val="false"/>
              </w:rPr>
              <w:t xml:space="preserve">Provider manages</w:t>
            </w:r>
          </w:p>
        </w:tc>
        <w:tc>
          <w:tcPr>
            <w:tcW w:type="dxa" w:w="2400"/>
            <w:shd w:fill="DDEBF7" w:val="clear"/>
            <w:tcMar>
              <w:top w:type="dxa" w:w="100"/>
              <w:left w:type="dxa" w:w="120"/>
              <w:bottom w:type="dxa" w:w="100"/>
              <w:right w:type="dxa" w:w="120"/>
            </w:tcMar>
          </w:tcPr>
          <w:p>
            <w:r>
              <w:rPr>
                <w:b w:val="false"/>
                <w:bCs w:val="false"/>
              </w:rPr>
              <w:t xml:space="preserve">Provider manages</w:t>
            </w:r>
          </w:p>
        </w:tc>
      </w:tr>
    </w:tbl>
    <w:p>
      <w:pPr>
        <w:spacing w:after="200"/>
      </w:pPr>
    </w:p>
    <w:p>
      <w:pPr>
        <w:pStyle w:val="Heading2"/>
      </w:pPr>
      <w:r>
        <w:t xml:space="preserve">2.1 Infrastructure as a Service (IaaS)</w:t>
      </w:r>
    </w:p>
    <w:p>
      <w:pPr>
        <w:spacing w:after="150"/>
      </w:pPr>
      <w:r>
        <w:t xml:space="preserve">IaaS provides the fundamental building blocks of computing — virtual machines, storage volumes, and networking — over the internet. The customer manages the operating system, middleware, runtime, and application, while the provider manages the physical hardware, virtualization layer, and data center.</w:t>
      </w:r>
    </w:p>
    <w:p>
      <w:pPr>
        <w:spacing w:after="150"/>
      </w:pPr>
      <w:r>
        <w:t xml:space="preserve">Analogy: renting an empty plot of land with utilities already connected — you still build and furnish the house yourself.</w:t>
      </w:r>
    </w:p>
    <w:p>
      <w:pPr>
        <w:spacing w:after="150"/>
      </w:pPr>
      <w:r>
        <w:t xml:space="preserve">Examples: Amazon EC2, Microsoft Azure Virtual Machines, Google Compute Engine.</w:t>
      </w:r>
    </w:p>
    <w:p>
      <w:pPr>
        <w:spacing w:after="300"/>
      </w:pPr>
      <w:r>
        <w:t xml:space="preserve">Best suited for: organizations that need maximum control over their environment — custom OS configurations, legacy application migration, or building highly customized HPC clusters in the cloud.</w:t>
      </w:r>
    </w:p>
    <w:p>
      <w:pPr>
        <w:pStyle w:val="Heading2"/>
      </w:pPr>
      <w:r>
        <w:t xml:space="preserve">2.2 Platform as a Service (PaaS)</w:t>
      </w:r>
    </w:p>
    <w:p>
      <w:pPr>
        <w:spacing w:after="150"/>
      </w:pPr>
      <w:r>
        <w:t xml:space="preserve">PaaS provides a ready-to-use platform for developing, running, and managing applications, without the customer needing to manage the underlying servers, storage, or operating system. The provider handles the OS, runtime, and infrastructure; the customer focuses purely on writing and deploying application code.</w:t>
      </w:r>
    </w:p>
    <w:p>
      <w:pPr>
        <w:spacing w:after="150"/>
      </w:pPr>
      <w:r>
        <w:t xml:space="preserve">Analogy: renting a fully built workshop with all the tools and power already set up — you just bring your project and start building.</w:t>
      </w:r>
    </w:p>
    <w:p>
      <w:pPr>
        <w:spacing w:after="150"/>
      </w:pPr>
      <w:r>
        <w:t xml:space="preserve">Examples: Google App Engine, Microsoft Azure App Service, Heroku.</w:t>
      </w:r>
    </w:p>
    <w:p>
      <w:pPr>
        <w:spacing w:after="300"/>
      </w:pPr>
      <w:r>
        <w:t xml:space="preserve">Best suited for: developers who want to build and ship applications quickly without managing servers, patching operating systems, or configuring infrastructure.</w:t>
      </w:r>
    </w:p>
    <w:p>
      <w:pPr>
        <w:pStyle w:val="Heading2"/>
      </w:pPr>
      <w:r>
        <w:t xml:space="preserve">2.3 Software as a Service (SaaS)</w:t>
      </w:r>
    </w:p>
    <w:p>
      <w:pPr>
        <w:spacing w:after="150"/>
      </w:pPr>
      <w:r>
        <w:t xml:space="preserve">SaaS delivers a complete, ready-to-use software application over the internet, typically accessed through a web browser. The provider manages absolutely everything — infrastructure, platform, and the application itself. The customer simply uses the software, usually via subscription.</w:t>
      </w:r>
    </w:p>
    <w:p>
      <w:pPr>
        <w:spacing w:after="150"/>
      </w:pPr>
      <w:r>
        <w:t xml:space="preserve">Analogy: staying at a fully furnished, fully serviced hotel room — you just walk in and use it.</w:t>
      </w:r>
    </w:p>
    <w:p>
      <w:pPr>
        <w:spacing w:after="150"/>
      </w:pPr>
      <w:r>
        <w:t xml:space="preserve">Examples: Gmail, Google Docs, Microsoft 365, Dropbox, Zoom, Salesforce.</w:t>
      </w:r>
    </w:p>
    <w:p>
      <w:pPr>
        <w:spacing w:after="300"/>
      </w:pPr>
      <w:r>
        <w:t xml:space="preserve">Best suited for: end users and organizations who want to use software directly without any development, deployment, or maintenance effort.</w:t>
      </w:r>
    </w:p>
    <w:p>
      <w:pPr>
        <w:pStyle w:val="Heading1"/>
        <w:spacing w:before="200"/>
      </w:pPr>
      <w:r>
        <w:t xml:space="preserve">3. Side-by-Side Comparison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300"/>
      </w:tblGrid>
      <w:tr>
        <w:tc>
          <w:tcPr>
            <w:tcW w:type="dxa" w:w="2200"/>
            <w:shd w:fill="2E5395" w:val="clear"/>
            <w:tcMar>
              <w:top w:type="dxa" w:w="100"/>
              <w:left w:type="dxa" w:w="120"/>
              <w:bottom w:type="dxa" w:w="100"/>
              <w:right w:type="dxa" w:w="120"/>
            </w:tcMar>
          </w:tcPr>
          <w:p>
            <w:r>
              <w:rPr>
                <w:b/>
                <w:bCs/>
                <w:color w:val="FFFFFF"/>
              </w:rPr>
              <w:t xml:space="preserve">Aspect</w:t>
            </w:r>
          </w:p>
        </w:tc>
        <w:tc>
          <w:tcPr>
            <w:tcW w:type="dxa" w:w="2300"/>
            <w:shd w:fill="2E5395" w:val="clear"/>
            <w:tcMar>
              <w:top w:type="dxa" w:w="100"/>
              <w:left w:type="dxa" w:w="120"/>
              <w:bottom w:type="dxa" w:w="100"/>
              <w:right w:type="dxa" w:w="120"/>
            </w:tcMar>
          </w:tcPr>
          <w:p>
            <w:r>
              <w:rPr>
                <w:b/>
                <w:bCs/>
                <w:color w:val="FFFFFF"/>
              </w:rPr>
              <w:t xml:space="preserve">IaaS</w:t>
            </w:r>
          </w:p>
        </w:tc>
        <w:tc>
          <w:tcPr>
            <w:tcW w:type="dxa" w:w="2300"/>
            <w:shd w:fill="2E5395" w:val="clear"/>
            <w:tcMar>
              <w:top w:type="dxa" w:w="100"/>
              <w:left w:type="dxa" w:w="120"/>
              <w:bottom w:type="dxa" w:w="100"/>
              <w:right w:type="dxa" w:w="120"/>
            </w:tcMar>
          </w:tcPr>
          <w:p>
            <w:r>
              <w:rPr>
                <w:b/>
                <w:bCs/>
                <w:color w:val="FFFFFF"/>
              </w:rPr>
              <w:t xml:space="preserve">PaaS</w:t>
            </w:r>
          </w:p>
        </w:tc>
        <w:tc>
          <w:tcPr>
            <w:tcW w:type="dxa" w:w="2300"/>
            <w:shd w:fill="2E5395" w:val="clear"/>
            <w:tcMar>
              <w:top w:type="dxa" w:w="100"/>
              <w:left w:type="dxa" w:w="120"/>
              <w:bottom w:type="dxa" w:w="100"/>
              <w:right w:type="dxa" w:w="120"/>
            </w:tcMar>
          </w:tcPr>
          <w:p>
            <w:r>
              <w:rPr>
                <w:b/>
                <w:bCs/>
                <w:color w:val="FFFFFF"/>
              </w:rPr>
              <w:t xml:space="preserve">SaaS</w:t>
            </w:r>
          </w:p>
        </w:tc>
      </w:tr>
      <w:tr>
        <w:tc>
          <w:tcPr>
            <w:tcW w:type="dxa" w:w="2200"/>
            <w:tcMar>
              <w:top w:type="dxa" w:w="100"/>
              <w:left w:type="dxa" w:w="120"/>
              <w:bottom w:type="dxa" w:w="100"/>
              <w:right w:type="dxa" w:w="120"/>
            </w:tcMar>
          </w:tcPr>
          <w:p>
            <w:r>
              <w:rPr>
                <w:b/>
                <w:bCs/>
              </w:rPr>
              <w:t xml:space="preserve">Who manages infrastructure</w:t>
            </w:r>
          </w:p>
        </w:tc>
        <w:tc>
          <w:tcPr>
            <w:tcW w:type="dxa" w:w="2300"/>
            <w:tcMar>
              <w:top w:type="dxa" w:w="100"/>
              <w:left w:type="dxa" w:w="120"/>
              <w:bottom w:type="dxa" w:w="100"/>
              <w:right w:type="dxa" w:w="120"/>
            </w:tcMar>
          </w:tcPr>
          <w:p>
            <w:r>
              <w:rPr>
                <w:b w:val="false"/>
                <w:bCs w:val="false"/>
              </w:rPr>
              <w:t xml:space="preserve">Provider</w:t>
            </w:r>
          </w:p>
        </w:tc>
        <w:tc>
          <w:tcPr>
            <w:tcW w:type="dxa" w:w="2300"/>
            <w:tcMar>
              <w:top w:type="dxa" w:w="100"/>
              <w:left w:type="dxa" w:w="120"/>
              <w:bottom w:type="dxa" w:w="100"/>
              <w:right w:type="dxa" w:w="120"/>
            </w:tcMar>
          </w:tcPr>
          <w:p>
            <w:r>
              <w:rPr>
                <w:b w:val="false"/>
                <w:bCs w:val="false"/>
              </w:rPr>
              <w:t xml:space="preserve">Provider</w:t>
            </w:r>
          </w:p>
        </w:tc>
        <w:tc>
          <w:tcPr>
            <w:tcW w:type="dxa" w:w="2300"/>
            <w:tcMar>
              <w:top w:type="dxa" w:w="100"/>
              <w:left w:type="dxa" w:w="120"/>
              <w:bottom w:type="dxa" w:w="100"/>
              <w:right w:type="dxa" w:w="120"/>
            </w:tcMar>
          </w:tcPr>
          <w:p>
            <w:r>
              <w:rPr>
                <w:b w:val="false"/>
                <w:bCs w:val="false"/>
              </w:rPr>
              <w:t xml:space="preserve">Provider</w:t>
            </w:r>
          </w:p>
        </w:tc>
      </w:tr>
      <w:tr>
        <w:tc>
          <w:tcPr>
            <w:tcW w:type="dxa" w:w="2200"/>
            <w:tcMar>
              <w:top w:type="dxa" w:w="100"/>
              <w:left w:type="dxa" w:w="120"/>
              <w:bottom w:type="dxa" w:w="100"/>
              <w:right w:type="dxa" w:w="120"/>
            </w:tcMar>
          </w:tcPr>
          <w:p>
            <w:r>
              <w:rPr>
                <w:b/>
                <w:bCs/>
              </w:rPr>
              <w:t xml:space="preserve">Who manages OS/runtime</w:t>
            </w:r>
          </w:p>
        </w:tc>
        <w:tc>
          <w:tcPr>
            <w:tcW w:type="dxa" w:w="2300"/>
            <w:tcMar>
              <w:top w:type="dxa" w:w="100"/>
              <w:left w:type="dxa" w:w="120"/>
              <w:bottom w:type="dxa" w:w="100"/>
              <w:right w:type="dxa" w:w="120"/>
            </w:tcMar>
          </w:tcPr>
          <w:p>
            <w:r>
              <w:rPr>
                <w:b w:val="false"/>
                <w:bCs w:val="false"/>
              </w:rPr>
              <w:t xml:space="preserve">Customer</w:t>
            </w:r>
          </w:p>
        </w:tc>
        <w:tc>
          <w:tcPr>
            <w:tcW w:type="dxa" w:w="2300"/>
            <w:tcMar>
              <w:top w:type="dxa" w:w="100"/>
              <w:left w:type="dxa" w:w="120"/>
              <w:bottom w:type="dxa" w:w="100"/>
              <w:right w:type="dxa" w:w="120"/>
            </w:tcMar>
          </w:tcPr>
          <w:p>
            <w:r>
              <w:rPr>
                <w:b w:val="false"/>
                <w:bCs w:val="false"/>
              </w:rPr>
              <w:t xml:space="preserve">Provider</w:t>
            </w:r>
          </w:p>
        </w:tc>
        <w:tc>
          <w:tcPr>
            <w:tcW w:type="dxa" w:w="2300"/>
            <w:tcMar>
              <w:top w:type="dxa" w:w="100"/>
              <w:left w:type="dxa" w:w="120"/>
              <w:bottom w:type="dxa" w:w="100"/>
              <w:right w:type="dxa" w:w="120"/>
            </w:tcMar>
          </w:tcPr>
          <w:p>
            <w:r>
              <w:rPr>
                <w:b w:val="false"/>
                <w:bCs w:val="false"/>
              </w:rPr>
              <w:t xml:space="preserve">Provider</w:t>
            </w:r>
          </w:p>
        </w:tc>
      </w:tr>
      <w:tr>
        <w:tc>
          <w:tcPr>
            <w:tcW w:type="dxa" w:w="2200"/>
            <w:tcMar>
              <w:top w:type="dxa" w:w="100"/>
              <w:left w:type="dxa" w:w="120"/>
              <w:bottom w:type="dxa" w:w="100"/>
              <w:right w:type="dxa" w:w="120"/>
            </w:tcMar>
          </w:tcPr>
          <w:p>
            <w:r>
              <w:rPr>
                <w:b/>
                <w:bCs/>
              </w:rPr>
              <w:t xml:space="preserve">Who manages application</w:t>
            </w:r>
          </w:p>
        </w:tc>
        <w:tc>
          <w:tcPr>
            <w:tcW w:type="dxa" w:w="2300"/>
            <w:tcMar>
              <w:top w:type="dxa" w:w="100"/>
              <w:left w:type="dxa" w:w="120"/>
              <w:bottom w:type="dxa" w:w="100"/>
              <w:right w:type="dxa" w:w="120"/>
            </w:tcMar>
          </w:tcPr>
          <w:p>
            <w:r>
              <w:rPr>
                <w:b w:val="false"/>
                <w:bCs w:val="false"/>
              </w:rPr>
              <w:t xml:space="preserve">Customer</w:t>
            </w:r>
          </w:p>
        </w:tc>
        <w:tc>
          <w:tcPr>
            <w:tcW w:type="dxa" w:w="2300"/>
            <w:tcMar>
              <w:top w:type="dxa" w:w="100"/>
              <w:left w:type="dxa" w:w="120"/>
              <w:bottom w:type="dxa" w:w="100"/>
              <w:right w:type="dxa" w:w="120"/>
            </w:tcMar>
          </w:tcPr>
          <w:p>
            <w:r>
              <w:rPr>
                <w:b w:val="false"/>
                <w:bCs w:val="false"/>
              </w:rPr>
              <w:t xml:space="preserve">Customer</w:t>
            </w:r>
          </w:p>
        </w:tc>
        <w:tc>
          <w:tcPr>
            <w:tcW w:type="dxa" w:w="2300"/>
            <w:tcMar>
              <w:top w:type="dxa" w:w="100"/>
              <w:left w:type="dxa" w:w="120"/>
              <w:bottom w:type="dxa" w:w="100"/>
              <w:right w:type="dxa" w:w="120"/>
            </w:tcMar>
          </w:tcPr>
          <w:p>
            <w:r>
              <w:rPr>
                <w:b w:val="false"/>
                <w:bCs w:val="false"/>
              </w:rPr>
              <w:t xml:space="preserve">Provider</w:t>
            </w:r>
          </w:p>
        </w:tc>
      </w:tr>
      <w:tr>
        <w:tc>
          <w:tcPr>
            <w:tcW w:type="dxa" w:w="2200"/>
            <w:tcMar>
              <w:top w:type="dxa" w:w="100"/>
              <w:left w:type="dxa" w:w="120"/>
              <w:bottom w:type="dxa" w:w="100"/>
              <w:right w:type="dxa" w:w="120"/>
            </w:tcMar>
          </w:tcPr>
          <w:p>
            <w:r>
              <w:rPr>
                <w:b/>
                <w:bCs/>
              </w:rPr>
              <w:t xml:space="preserve">Control level</w:t>
            </w:r>
          </w:p>
        </w:tc>
        <w:tc>
          <w:tcPr>
            <w:tcW w:type="dxa" w:w="2300"/>
            <w:tcMar>
              <w:top w:type="dxa" w:w="100"/>
              <w:left w:type="dxa" w:w="120"/>
              <w:bottom w:type="dxa" w:w="100"/>
              <w:right w:type="dxa" w:w="120"/>
            </w:tcMar>
          </w:tcPr>
          <w:p>
            <w:r>
              <w:rPr>
                <w:b w:val="false"/>
                <w:bCs w:val="false"/>
              </w:rPr>
              <w:t xml:space="preserve">Highest</w:t>
            </w:r>
          </w:p>
        </w:tc>
        <w:tc>
          <w:tcPr>
            <w:tcW w:type="dxa" w:w="2300"/>
            <w:tcMar>
              <w:top w:type="dxa" w:w="100"/>
              <w:left w:type="dxa" w:w="120"/>
              <w:bottom w:type="dxa" w:w="100"/>
              <w:right w:type="dxa" w:w="120"/>
            </w:tcMar>
          </w:tcPr>
          <w:p>
            <w:r>
              <w:rPr>
                <w:b w:val="false"/>
                <w:bCs w:val="false"/>
              </w:rPr>
              <w:t xml:space="preserve">Medium</w:t>
            </w:r>
          </w:p>
        </w:tc>
        <w:tc>
          <w:tcPr>
            <w:tcW w:type="dxa" w:w="2300"/>
            <w:tcMar>
              <w:top w:type="dxa" w:w="100"/>
              <w:left w:type="dxa" w:w="120"/>
              <w:bottom w:type="dxa" w:w="100"/>
              <w:right w:type="dxa" w:w="120"/>
            </w:tcMar>
          </w:tcPr>
          <w:p>
            <w:r>
              <w:rPr>
                <w:b w:val="false"/>
                <w:bCs w:val="false"/>
              </w:rPr>
              <w:t xml:space="preserve">Lowest</w:t>
            </w:r>
          </w:p>
        </w:tc>
      </w:tr>
      <w:tr>
        <w:tc>
          <w:tcPr>
            <w:tcW w:type="dxa" w:w="2200"/>
            <w:tcMar>
              <w:top w:type="dxa" w:w="100"/>
              <w:left w:type="dxa" w:w="120"/>
              <w:bottom w:type="dxa" w:w="100"/>
              <w:right w:type="dxa" w:w="120"/>
            </w:tcMar>
          </w:tcPr>
          <w:p>
            <w:r>
              <w:rPr>
                <w:b/>
                <w:bCs/>
              </w:rPr>
              <w:t xml:space="preserve">Ease of use</w:t>
            </w:r>
          </w:p>
        </w:tc>
        <w:tc>
          <w:tcPr>
            <w:tcW w:type="dxa" w:w="2300"/>
            <w:tcMar>
              <w:top w:type="dxa" w:w="100"/>
              <w:left w:type="dxa" w:w="120"/>
              <w:bottom w:type="dxa" w:w="100"/>
              <w:right w:type="dxa" w:w="120"/>
            </w:tcMar>
          </w:tcPr>
          <w:p>
            <w:r>
              <w:rPr>
                <w:b w:val="false"/>
                <w:bCs w:val="false"/>
              </w:rPr>
              <w:t xml:space="preserve">Requires most expertise</w:t>
            </w:r>
          </w:p>
        </w:tc>
        <w:tc>
          <w:tcPr>
            <w:tcW w:type="dxa" w:w="2300"/>
            <w:tcMar>
              <w:top w:type="dxa" w:w="100"/>
              <w:left w:type="dxa" w:w="120"/>
              <w:bottom w:type="dxa" w:w="100"/>
              <w:right w:type="dxa" w:w="120"/>
            </w:tcMar>
          </w:tcPr>
          <w:p>
            <w:r>
              <w:rPr>
                <w:b w:val="false"/>
                <w:bCs w:val="false"/>
              </w:rPr>
              <w:t xml:space="preserve">Developer-friendly</w:t>
            </w:r>
          </w:p>
        </w:tc>
        <w:tc>
          <w:tcPr>
            <w:tcW w:type="dxa" w:w="2300"/>
            <w:tcMar>
              <w:top w:type="dxa" w:w="100"/>
              <w:left w:type="dxa" w:w="120"/>
              <w:bottom w:type="dxa" w:w="100"/>
              <w:right w:type="dxa" w:w="120"/>
            </w:tcMar>
          </w:tcPr>
          <w:p>
            <w:r>
              <w:rPr>
                <w:b w:val="false"/>
                <w:bCs w:val="false"/>
              </w:rPr>
              <w:t xml:space="preserve">End-user friendly</w:t>
            </w:r>
          </w:p>
        </w:tc>
      </w:tr>
      <w:tr>
        <w:tc>
          <w:tcPr>
            <w:tcW w:type="dxa" w:w="2200"/>
            <w:tcMar>
              <w:top w:type="dxa" w:w="100"/>
              <w:left w:type="dxa" w:w="120"/>
              <w:bottom w:type="dxa" w:w="100"/>
              <w:right w:type="dxa" w:w="120"/>
            </w:tcMar>
          </w:tcPr>
          <w:p>
            <w:r>
              <w:rPr>
                <w:b/>
                <w:bCs/>
              </w:rPr>
              <w:t xml:space="preserve">Typical user</w:t>
            </w:r>
          </w:p>
        </w:tc>
        <w:tc>
          <w:tcPr>
            <w:tcW w:type="dxa" w:w="2300"/>
            <w:tcMar>
              <w:top w:type="dxa" w:w="100"/>
              <w:left w:type="dxa" w:w="120"/>
              <w:bottom w:type="dxa" w:w="100"/>
              <w:right w:type="dxa" w:w="120"/>
            </w:tcMar>
          </w:tcPr>
          <w:p>
            <w:r>
              <w:rPr>
                <w:b w:val="false"/>
                <w:bCs w:val="false"/>
              </w:rPr>
              <w:t xml:space="preserve">System/network admins</w:t>
            </w:r>
          </w:p>
        </w:tc>
        <w:tc>
          <w:tcPr>
            <w:tcW w:type="dxa" w:w="2300"/>
            <w:tcMar>
              <w:top w:type="dxa" w:w="100"/>
              <w:left w:type="dxa" w:w="120"/>
              <w:bottom w:type="dxa" w:w="100"/>
              <w:right w:type="dxa" w:w="120"/>
            </w:tcMar>
          </w:tcPr>
          <w:p>
            <w:r>
              <w:rPr>
                <w:b w:val="false"/>
                <w:bCs w:val="false"/>
              </w:rPr>
              <w:t xml:space="preserve">Developers</w:t>
            </w:r>
          </w:p>
        </w:tc>
        <w:tc>
          <w:tcPr>
            <w:tcW w:type="dxa" w:w="2300"/>
            <w:tcMar>
              <w:top w:type="dxa" w:w="100"/>
              <w:left w:type="dxa" w:w="120"/>
              <w:bottom w:type="dxa" w:w="100"/>
              <w:right w:type="dxa" w:w="120"/>
            </w:tcMar>
          </w:tcPr>
          <w:p>
            <w:r>
              <w:rPr>
                <w:b w:val="false"/>
                <w:bCs w:val="false"/>
              </w:rPr>
              <w:t xml:space="preserve">End users / businesses</w:t>
            </w:r>
          </w:p>
        </w:tc>
      </w:tr>
      <w:tr>
        <w:tc>
          <w:tcPr>
            <w:tcW w:type="dxa" w:w="2200"/>
            <w:tcMar>
              <w:top w:type="dxa" w:w="100"/>
              <w:left w:type="dxa" w:w="120"/>
              <w:bottom w:type="dxa" w:w="100"/>
              <w:right w:type="dxa" w:w="120"/>
            </w:tcMar>
          </w:tcPr>
          <w:p>
            <w:r>
              <w:rPr>
                <w:b/>
                <w:bCs/>
              </w:rPr>
              <w:t xml:space="preserve">Examples</w:t>
            </w:r>
          </w:p>
        </w:tc>
        <w:tc>
          <w:tcPr>
            <w:tcW w:type="dxa" w:w="2300"/>
            <w:tcMar>
              <w:top w:type="dxa" w:w="100"/>
              <w:left w:type="dxa" w:w="120"/>
              <w:bottom w:type="dxa" w:w="100"/>
              <w:right w:type="dxa" w:w="120"/>
            </w:tcMar>
          </w:tcPr>
          <w:p>
            <w:r>
              <w:rPr>
                <w:b w:val="false"/>
                <w:bCs w:val="false"/>
              </w:rPr>
              <w:t xml:space="preserve">AWS EC2, Azure VMs</w:t>
            </w:r>
          </w:p>
        </w:tc>
        <w:tc>
          <w:tcPr>
            <w:tcW w:type="dxa" w:w="2300"/>
            <w:tcMar>
              <w:top w:type="dxa" w:w="100"/>
              <w:left w:type="dxa" w:w="120"/>
              <w:bottom w:type="dxa" w:w="100"/>
              <w:right w:type="dxa" w:w="120"/>
            </w:tcMar>
          </w:tcPr>
          <w:p>
            <w:r>
              <w:rPr>
                <w:b w:val="false"/>
                <w:bCs w:val="false"/>
              </w:rPr>
              <w:t xml:space="preserve">Heroku, Google App Engine</w:t>
            </w:r>
          </w:p>
        </w:tc>
        <w:tc>
          <w:tcPr>
            <w:tcW w:type="dxa" w:w="2300"/>
            <w:tcMar>
              <w:top w:type="dxa" w:w="100"/>
              <w:left w:type="dxa" w:w="120"/>
              <w:bottom w:type="dxa" w:w="100"/>
              <w:right w:type="dxa" w:w="120"/>
            </w:tcMar>
          </w:tcPr>
          <w:p>
            <w:r>
              <w:rPr>
                <w:b w:val="false"/>
                <w:bCs w:val="false"/>
              </w:rPr>
              <w:t xml:space="preserve">Gmail, Microsoft 365</w:t>
            </w:r>
          </w:p>
        </w:tc>
      </w:tr>
    </w:tbl>
    <w:p>
      <w:pPr>
        <w:pStyle w:val="Heading1"/>
        <w:spacing w:before="350"/>
      </w:pPr>
      <w:r>
        <w:t xml:space="preserve">4. Cloud Deployment Models (Brief Note)</w:t>
      </w:r>
    </w:p>
    <w:p>
      <w:pPr>
        <w:spacing w:after="150"/>
      </w:pPr>
      <w:r>
        <w:t xml:space="preserve">Independent of which service model (IaaS/PaaS/SaaS) is used, cloud resources can also be deployed in different ways:</w:t>
      </w:r>
    </w:p>
    <w:p>
      <w:pPr>
        <w:pStyle w:val="ListParagraph"/>
        <w:numPr>
          <w:ilvl w:val="0"/>
          <w:numId w:val="2"/>
        </w:numPr>
        <w:spacing w:after="80"/>
      </w:pPr>
      <w:r>
        <w:t xml:space="preserve">Public Cloud — resources owned and operated by a third-party provider, shared across many customers (e.g., AWS, Azure)</w:t>
      </w:r>
    </w:p>
    <w:p>
      <w:pPr>
        <w:pStyle w:val="ListParagraph"/>
        <w:numPr>
          <w:ilvl w:val="0"/>
          <w:numId w:val="2"/>
        </w:numPr>
        <w:spacing w:after="80"/>
      </w:pPr>
      <w:r>
        <w:t xml:space="preserve">Private Cloud — resources dedicated to a single organization, either on-premises or hosted privately</w:t>
      </w:r>
    </w:p>
    <w:p>
      <w:pPr>
        <w:pStyle w:val="ListParagraph"/>
        <w:numPr>
          <w:ilvl w:val="0"/>
          <w:numId w:val="2"/>
        </w:numPr>
        <w:spacing w:after="80"/>
      </w:pPr>
      <w:r>
        <w:t xml:space="preserve">Hybrid Cloud — a combination of public and private cloud, allowing data and applications to move between them</w:t>
      </w:r>
    </w:p>
    <w:p>
      <w:pPr>
        <w:pStyle w:val="Heading1"/>
        <w:spacing w:before="350"/>
      </w:pPr>
      <w:r>
        <w:t xml:space="preserve">5. Relevance to HPC</w:t>
      </w:r>
    </w:p>
    <w:p>
      <w:pPr>
        <w:spacing w:after="200"/>
      </w:pPr>
      <w:r>
        <w:t xml:space="preserve">Cloud computing has become a major delivery mechanism for HPC itself. Instead of building and maintaining a physical supercomputing cluster, organizations can rent large-scale compute clusters on demand (an IaaS use case), run parallel workloads such as simulations or model training only when needed, and pay solely for the compute-hours consumed. This elasticity is especially valuable for HPC workloads, which are often bursty — heavy computation for a defined period (e.g., running a simulation or training a model) followed by long periods of little to no demand.</w:t>
      </w:r>
    </w:p>
    <w:p>
      <w:pPr>
        <w:pStyle w:val="Heading1"/>
        <w:spacing w:before="350"/>
      </w:pPr>
      <w:r>
        <w:t xml:space="preserve">6. Conclusion</w:t>
      </w:r>
    </w:p>
    <w:p>
      <w:pPr>
        <w:spacing w:after="200"/>
      </w:pPr>
      <w:r>
        <w:t xml:space="preserve">IaaS, PaaS, and SaaS represent a spectrum of how much control versus convenience an organization trades off when using the cloud. IaaS offers the most flexibility and the most responsibility; SaaS offers the least effort and the least control; PaaS sits in between, targeted specifically at developers who want to build software without managing infrastructure. Together, these models make it possible for organizations of any size to access the kind of large-scale, elastic computing power that was once only available to those who could afford to build and maintain their own data centers — which is precisely why cloud computing has become foundational to modern HPC.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2026-09-15T09:35:30.365Z</dcterms:created>
  <dcterms:modified xsi:type="dcterms:W3CDTF">2026-09-15T09:35:30.375Z</dcterms:modified>
</cp:coreProperties>
</file>

<file path=docProps/custom.xml><?xml version="1.0" encoding="utf-8"?>
<Properties xmlns="http://schemas.openxmlformats.org/officeDocument/2006/custom-properties" xmlns:vt="http://schemas.openxmlformats.org/officeDocument/2006/docPropsVTypes"/>
</file>