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Rate Prediction</w:t>
      </w:r>
    </w:p>
    <w:p>
      <w:pPr>
        <w:spacing w:after="220"/>
      </w:pPr>
      <w:r>
        <w:rPr>
          <w:rFonts w:ascii="Aptos" w:hAnsi="Aptos"/>
          <w:color w:val="147D82"/>
          <w:sz w:val="28"/>
        </w:rPr>
        <w:t>Validation report</w:t>
      </w:r>
    </w:p>
    <w:p>
      <w:pPr>
        <w:spacing w:after="180"/>
      </w:pPr>
      <w:r>
        <w:t>The selected shared-feature model achieved an October holdout MAE of $169.86. Validation used a forward-in-time split: January through September 2025 for fitting and October 2025 for evaluation. After selecting the model, it was refit on all labeled development rows to produce the final validation predictions.</w:t>
      </w:r>
    </w:p>
    <w:p>
      <w:pPr>
        <w:pStyle w:val="Heading1"/>
      </w:pPr>
      <w:r>
        <w:t>Results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Candidate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MAE ($)</w:t>
            </w:r>
          </w:p>
        </w:tc>
        <w:tc>
          <w:tcPr>
            <w:tcW w:type="dxa" w:w="16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RMSE ($)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MAPE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R²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Shared features (selected)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$169.86</w:t>
            </w:r>
          </w:p>
        </w:tc>
        <w:tc>
          <w:tcPr>
            <w:tcW w:type="dxa" w:w="16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$656.61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7.85%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0.8155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5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Extended features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5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$192.70</w:t>
            </w:r>
          </w:p>
        </w:tc>
        <w:tc>
          <w:tcPr>
            <w:tcW w:type="dxa" w:w="16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5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$663.02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5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8.56%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5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0.8119</w:t>
            </w:r>
          </w:p>
        </w:tc>
      </w:tr>
    </w:tbl>
    <w:p>
      <w:pPr>
        <w:pStyle w:val="Heading1"/>
      </w:pPr>
      <w:r>
        <w:t>Validation split and target</w:t>
      </w:r>
    </w:p>
    <w:p>
      <w:r>
        <w:t>The labeled data covered January 1 through October 31, 2025. The first nine months (43,147 rows) formed the training window; the latest complete month (4,853 rows) was held out. This temporal holdout better reflects the task of predicting later loads than a random row split. The model learned posted rate per mile and converted predictions back to dollars using each load's distance.</w:t>
      </w:r>
    </w:p>
    <w:p>
      <w:pPr>
        <w:pStyle w:val="Heading1"/>
      </w:pPr>
      <w:r>
        <w:t>Feature preparation</w:t>
      </w:r>
    </w:p>
    <w:p>
      <w:r>
        <w:t>Both candidates used distance and weight, pickup and delivery markets, equipment type, calendar trend and seasonal terms, and smoothed historical rate-per-mile encodings for routes and individual categories. Training encodings used leave-one-out values to reduce direct target leakage. Numeric missing values were filled from training-set medians; unseen categories were mapped to an unknown level. Distance was represented with square-root, logarithmic and squared terms. A small ridge penalty stabilized the linear fit.</w:t>
      </w:r>
    </w:p>
    <w:p>
      <w:r>
        <w:br w:type="page"/>
      </w:r>
    </w:p>
    <w:p>
      <w:pPr>
        <w:pStyle w:val="Heading1"/>
      </w:pPr>
      <w:r>
        <w:t>Model comparison and selection</w:t>
      </w:r>
    </w:p>
    <w:p>
      <w:r>
        <w:t>The extended candidate added pickup and delivery coordinates, market index and quote signal, along with selected interactions and missingness indicators. The shared-feature candidate had lower error on the October holdout across MAE, RMSE and MAPE, and a slightly higher R², so it was selected. The December input file does not include the extra geographic and market-signal fields; December predictions therefore use the shared-feature model.</w:t>
      </w:r>
    </w:p>
    <w:p>
      <w:pPr>
        <w:pStyle w:val="Heading1"/>
      </w:pPr>
      <w:r>
        <w:t>Data checks and scoring</w:t>
      </w:r>
    </w:p>
    <w:p>
      <w:pPr>
        <w:pStyle w:val="ListBullet"/>
        <w:spacing w:after="40"/>
        <w:ind w:left="317" w:hanging="202"/>
      </w:pPr>
      <w:r>
        <w:t>Confirmed the training target was present for every labeled row and load_id values were unique in training and validation inputs.</w:t>
      </w:r>
    </w:p>
    <w:p>
      <w:pPr>
        <w:pStyle w:val="ListBullet"/>
        <w:spacing w:after="40"/>
        <w:ind w:left="317" w:hanging="202"/>
      </w:pPr>
      <w:r>
        <w:t>Parsed dates explicitly and used training-window statistics when filling numeric missing values.</w:t>
      </w:r>
    </w:p>
    <w:p>
      <w:pPr>
        <w:pStyle w:val="ListBullet"/>
        <w:spacing w:after="40"/>
        <w:ind w:left="317" w:hanging="202"/>
      </w:pPr>
      <w:r>
        <w:t>Matched validation predictions back to the supplied template by load_id and checked that every template ID received a prediction.</w:t>
      </w:r>
    </w:p>
    <w:p>
      <w:pPr>
        <w:pStyle w:val="ListBullet"/>
        <w:spacing w:after="40"/>
        <w:ind w:left="317" w:hanging="202"/>
      </w:pPr>
      <w:r>
        <w:t>Ran the provided scorer; it accepted the 12,000 validation predictions and 31 December rows and produced the fixed-route chart below.</w:t>
      </w:r>
    </w:p>
    <w:p>
      <w:pPr>
        <w:spacing w:before="40" w:after="40"/>
      </w:pPr>
      <w:r>
        <w:rPr>
          <w:i/>
          <w:color w:val="506579"/>
          <w:sz w:val="17"/>
        </w:rPr>
        <w:t>Validation metrics describe the October temporal holdout. The hidden validation labels were not available, so these are not final validation-set accuracy scores.</w:t>
      </w:r>
    </w:p>
    <w:p>
      <w:pPr>
        <w:pStyle w:val="Heading1"/>
      </w:pPr>
      <w:r>
        <w:t>Fixed December prediction chart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257800" cy="1712478"/>
            <wp:docPr id="1" name="Picture 1" descr="Predicted freight rates for the 31 fixed-route December inpu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06579"/>
          <w:sz w:val="16"/>
        </w:rPr>
        <w:t>Figure 1. Scorer output for the 31 fixed-route December inputs.</w:t>
      </w:r>
    </w:p>
    <w:p>
      <w:pPr>
        <w:pStyle w:val="Heading1"/>
      </w:pPr>
      <w:r>
        <w:t>Reproduce the outputs</w:t>
      </w:r>
    </w:p>
    <w:p>
      <w:r>
        <w:t>From the repository root, install the listed dependencies, place the supplied raw CSV inputs in data/, and run:</w:t>
      </w:r>
    </w:p>
    <w:p>
      <w:pPr>
        <w:spacing w:after="20"/>
        <w:ind w:left="317"/>
      </w:pPr>
      <w:r>
        <w:rPr>
          <w:rFonts w:ascii="Consolas" w:hAnsi="Consolas"/>
          <w:color w:val="17324D"/>
          <w:sz w:val="16"/>
        </w:rPr>
        <w:t>python -m pip install -r requirements.txt</w:t>
      </w:r>
    </w:p>
    <w:p>
      <w:pPr>
        <w:spacing w:after="20"/>
        <w:ind w:left="317"/>
      </w:pPr>
      <w:r>
        <w:rPr>
          <w:rFonts w:ascii="Consolas" w:hAnsi="Consolas"/>
          <w:color w:val="17324D"/>
          <w:sz w:val="16"/>
        </w:rPr>
        <w:t>python train_predict.py</w:t>
      </w:r>
    </w:p>
    <w:p>
      <w:pPr>
        <w:spacing w:after="20"/>
        <w:ind w:left="317"/>
      </w:pPr>
      <w:r>
        <w:rPr>
          <w:rFonts w:ascii="Consolas" w:hAnsi="Consolas"/>
          <w:color w:val="17324D"/>
          <w:sz w:val="16"/>
        </w:rPr>
        <w:t>python score.py --predictions validation_predictions.csv --december-predictions data/december_chart_inputs.csv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6579"/>
        <w:sz w:val="16"/>
      </w:rPr>
      <w:t>Freight Rate Prediction  •  October 2025 temporal holdout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2"/>
        <w:sz w:val="16"/>
      </w:rPr>
      <w:t>SPOTTER  |  MACHINE LEARNING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47D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Rate Prediction Validation Report</dc:title>
  <dc:subject>Spotter Machine Learning Engineer Assessment</dc:subject>
  <dc:creator>Amit Kushwaha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