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85"/>
        <w:gridCol w:w="3360"/>
        <w:gridCol w:w="4020"/>
      </w:tblGrid>
      <w:tr w:rsidR="10D6753D" w:rsidTr="10D6753D" w14:paraId="51EB6EE9">
        <w:trPr>
          <w:trHeight w:val="165"/>
        </w:trPr>
        <w:tc>
          <w:tcPr>
            <w:tcW w:w="2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D6753D" w:rsidP="10D6753D" w:rsidRDefault="10D6753D" w14:paraId="411F4D50" w14:textId="53C234A4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1"/>
                <w:bCs w:val="1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Sector</w:t>
            </w:r>
          </w:p>
        </w:tc>
        <w:tc>
          <w:tcPr>
            <w:tcW w:w="3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D6753D" w:rsidP="10D6753D" w:rsidRDefault="10D6753D" w14:paraId="718CC5C9" w14:textId="52F855D1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1"/>
                <w:bCs w:val="1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Focus Area</w:t>
            </w:r>
          </w:p>
        </w:tc>
        <w:tc>
          <w:tcPr>
            <w:tcW w:w="4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D6753D" w:rsidP="10D6753D" w:rsidRDefault="10D6753D" w14:paraId="1D17E417" w14:textId="5F3132A7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1"/>
                <w:bCs w:val="1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Policy Documents</w:t>
            </w:r>
          </w:p>
        </w:tc>
      </w:tr>
      <w:tr w:rsidR="10D6753D" w:rsidTr="10D6753D" w14:paraId="5CA25E54">
        <w:trPr>
          <w:trHeight w:val="1800"/>
        </w:trPr>
        <w:tc>
          <w:tcPr>
            <w:tcW w:w="2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D6753D" w:rsidP="10D6753D" w:rsidRDefault="10D6753D" w14:paraId="4D85E369" w14:textId="10648F1F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Health Insurance</w:t>
            </w:r>
          </w:p>
        </w:tc>
        <w:tc>
          <w:tcPr>
            <w:tcW w:w="3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D6753D" w:rsidP="10D6753D" w:rsidRDefault="10D6753D" w14:paraId="3E70B708" w14:textId="69F6185D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Coverage Limitations</w:t>
            </w:r>
          </w:p>
          <w:p w:rsidR="10D6753D" w:rsidP="10D6753D" w:rsidRDefault="10D6753D" w14:paraId="2E08A18F" w14:textId="18C0C3D9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Eligibility Criteria</w:t>
            </w:r>
          </w:p>
          <w:p w:rsidR="10D6753D" w:rsidP="10D6753D" w:rsidRDefault="10D6753D" w14:paraId="34238EA3" w14:textId="45B59174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Network Service Accessibility</w:t>
            </w:r>
          </w:p>
          <w:p w:rsidR="10D6753D" w:rsidP="10D6753D" w:rsidRDefault="10D6753D" w14:paraId="77A20869" w14:textId="0C6707A5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Premium Structure</w:t>
            </w:r>
          </w:p>
          <w:p w:rsidR="10D6753D" w:rsidP="10D6753D" w:rsidRDefault="10D6753D" w14:paraId="53BF2A32" w14:textId="1BD2A26D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Pre-Existing Condition Rules</w:t>
            </w:r>
          </w:p>
          <w:p w:rsidR="10D6753D" w:rsidP="10D6753D" w:rsidRDefault="10D6753D" w14:paraId="3A80342D" w14:textId="0D556243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Benefit Coverage Scope</w:t>
            </w:r>
          </w:p>
          <w:p w:rsidR="10D6753D" w:rsidP="10D6753D" w:rsidRDefault="10D6753D" w14:paraId="470D4911" w14:textId="79E9ABE3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Cost-Sharing Terms</w:t>
            </w:r>
          </w:p>
          <w:p w:rsidR="10D6753D" w:rsidP="10D6753D" w:rsidRDefault="10D6753D" w14:paraId="0C2D43E4" w14:textId="1BAA8487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Claims Handling Process</w:t>
            </w:r>
          </w:p>
          <w:p w:rsidR="10D6753D" w:rsidP="10D6753D" w:rsidRDefault="10D6753D" w14:paraId="3C33E143" w14:textId="34DD232A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Waiting Period Guidelines</w:t>
            </w:r>
          </w:p>
          <w:p w:rsidR="10D6753D" w:rsidP="10D6753D" w:rsidRDefault="10D6753D" w14:paraId="34536B11" w14:textId="139F78BB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Documentation Requirements</w:t>
            </w:r>
          </w:p>
        </w:tc>
        <w:tc>
          <w:tcPr>
            <w:tcW w:w="4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D6753D" w:rsidP="10D6753D" w:rsidRDefault="10D6753D" w14:paraId="345E2B08" w14:textId="1E5ABCCB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HI-101: Individual Health Insurance Policy</w:t>
            </w:r>
          </w:p>
          <w:p w:rsidR="10D6753D" w:rsidP="10D6753D" w:rsidRDefault="10D6753D" w14:paraId="615C422B" w14:textId="555377BC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HI-102: Family Floater Health Insurance Policy</w:t>
            </w:r>
          </w:p>
          <w:p w:rsidR="10D6753D" w:rsidP="10D6753D" w:rsidRDefault="10D6753D" w14:paraId="73713E66" w14:textId="2E059E7E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HI-201: Critical Illness Coverage Document</w:t>
            </w:r>
          </w:p>
          <w:p w:rsidR="10D6753D" w:rsidP="10D6753D" w:rsidRDefault="10D6753D" w14:paraId="231BEE08" w14:textId="607B6D9F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HI-301: Senior Citizen Health Insurance Plan</w:t>
            </w:r>
          </w:p>
        </w:tc>
      </w:tr>
      <w:tr w:rsidR="10D6753D" w:rsidTr="10D6753D" w14:paraId="18753D2B">
        <w:trPr>
          <w:trHeight w:val="1785"/>
        </w:trPr>
        <w:tc>
          <w:tcPr>
            <w:tcW w:w="2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D6753D" w:rsidP="10D6753D" w:rsidRDefault="10D6753D" w14:paraId="56E0A51A" w14:textId="1123D2CF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Vehicle Insurance</w:t>
            </w:r>
          </w:p>
        </w:tc>
        <w:tc>
          <w:tcPr>
            <w:tcW w:w="3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D6753D" w:rsidP="10D6753D" w:rsidRDefault="10D6753D" w14:paraId="4BCC602E" w14:textId="31368F14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Premium Evaluation Framework</w:t>
            </w:r>
          </w:p>
          <w:p w:rsidR="10D6753D" w:rsidP="10D6753D" w:rsidRDefault="10D6753D" w14:paraId="404C5AB9" w14:textId="6CA603A6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Coverage Restrictions</w:t>
            </w:r>
          </w:p>
          <w:p w:rsidR="10D6753D" w:rsidP="10D6753D" w:rsidRDefault="10D6753D" w14:paraId="055323DC" w14:textId="709BBF51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Garage Network Accessibility</w:t>
            </w:r>
          </w:p>
          <w:p w:rsidR="10D6753D" w:rsidP="10D6753D" w:rsidRDefault="10D6753D" w14:paraId="79F14DD5" w14:textId="1EA46CB0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Vehicle Condition &amp; Pre-Inspection Rules</w:t>
            </w:r>
          </w:p>
          <w:p w:rsidR="10D6753D" w:rsidP="10D6753D" w:rsidRDefault="10D6753D" w14:paraId="62EA23EC" w14:textId="0D762DE3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Claim Assessment Workflow</w:t>
            </w:r>
          </w:p>
          <w:p w:rsidR="10D6753D" w:rsidP="10D6753D" w:rsidRDefault="10D6753D" w14:paraId="4209CB25" w14:textId="575087E0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Deductible &amp; Cost Participation Terms</w:t>
            </w:r>
          </w:p>
          <w:p w:rsidR="10D6753D" w:rsidP="10D6753D" w:rsidRDefault="10D6753D" w14:paraId="35001DF6" w14:textId="6D207F39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Operational Coverage Scope</w:t>
            </w:r>
          </w:p>
          <w:p w:rsidR="10D6753D" w:rsidP="10D6753D" w:rsidRDefault="10D6753D" w14:paraId="05DCD913" w14:textId="7536E4B4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Activation &amp; Cooling-Off Timelines</w:t>
            </w:r>
          </w:p>
          <w:p w:rsidR="10D6753D" w:rsidP="10D6753D" w:rsidRDefault="10D6753D" w14:paraId="3264BE34" w14:textId="5F0077B8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Eligibility &amp; Registration Criteria</w:t>
            </w:r>
          </w:p>
          <w:p w:rsidR="10D6753D" w:rsidP="10D6753D" w:rsidRDefault="10D6753D" w14:paraId="187AB52A" w14:textId="4E797AC1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Required Ownership Documents</w:t>
            </w:r>
          </w:p>
        </w:tc>
        <w:tc>
          <w:tcPr>
            <w:tcW w:w="4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D6753D" w:rsidP="10D6753D" w:rsidRDefault="10D6753D" w14:paraId="615BC361" w14:textId="5AE648DD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VI-101: Comprehensive Motor Insurance Policy</w:t>
            </w:r>
          </w:p>
          <w:p w:rsidR="10D6753D" w:rsidP="10D6753D" w:rsidRDefault="10D6753D" w14:paraId="2681DFC4" w14:textId="339A91F5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VI-102: Third-Party Liability Insurance Document</w:t>
            </w:r>
          </w:p>
          <w:p w:rsidR="10D6753D" w:rsidP="10D6753D" w:rsidRDefault="10D6753D" w14:paraId="27306DEF" w14:textId="1FEA2F9F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VI-201: Zero-Depreciation Add-On Coverage Sheet</w:t>
            </w:r>
          </w:p>
          <w:p w:rsidR="10D6753D" w:rsidP="10D6753D" w:rsidRDefault="10D6753D" w14:paraId="55218246" w14:textId="26F64477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VI-301: Commercial Vehicle Insurance Package</w:t>
            </w:r>
          </w:p>
        </w:tc>
      </w:tr>
      <w:tr w:rsidR="10D6753D" w:rsidTr="10D6753D" w14:paraId="60A33249">
        <w:trPr>
          <w:trHeight w:val="2145"/>
        </w:trPr>
        <w:tc>
          <w:tcPr>
            <w:tcW w:w="2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D6753D" w:rsidP="10D6753D" w:rsidRDefault="10D6753D" w14:paraId="586003ED" w14:textId="3FCB098E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Life Insurance</w:t>
            </w:r>
          </w:p>
        </w:tc>
        <w:tc>
          <w:tcPr>
            <w:tcW w:w="3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D6753D" w:rsidP="10D6753D" w:rsidRDefault="10D6753D" w14:paraId="7792AB7D" w14:textId="578783A3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Benefit Payout Scope</w:t>
            </w:r>
          </w:p>
          <w:p w:rsidR="10D6753D" w:rsidP="10D6753D" w:rsidRDefault="10D6753D" w14:paraId="50918FD5" w14:textId="473D9FB6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Applicant Eligibility Standards</w:t>
            </w:r>
          </w:p>
          <w:p w:rsidR="10D6753D" w:rsidP="10D6753D" w:rsidRDefault="10D6753D" w14:paraId="11219155" w14:textId="61A5215C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Premium &amp; Contribution Structure</w:t>
            </w:r>
          </w:p>
          <w:p w:rsidR="10D6753D" w:rsidP="10D6753D" w:rsidRDefault="10D6753D" w14:paraId="4656E4B6" w14:textId="00F995FE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Exclusion &amp; Limitation Clauses</w:t>
            </w:r>
          </w:p>
          <w:p w:rsidR="10D6753D" w:rsidP="10D6753D" w:rsidRDefault="10D6753D" w14:paraId="179A2498" w14:textId="7ED5CE19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Contestability &amp; Waiting Period</w:t>
            </w:r>
          </w:p>
          <w:p w:rsidR="10D6753D" w:rsidP="10D6753D" w:rsidRDefault="10D6753D" w14:paraId="2AB4121B" w14:textId="0462A258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Framework</w:t>
            </w:r>
          </w:p>
          <w:p w:rsidR="10D6753D" w:rsidP="10D6753D" w:rsidRDefault="10D6753D" w14:paraId="7BB64BBD" w14:textId="78D89C7B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Nominee &amp; Beneficiary Validation Rules</w:t>
            </w:r>
          </w:p>
          <w:p w:rsidR="10D6753D" w:rsidP="10D6753D" w:rsidRDefault="10D6753D" w14:paraId="27AD286A" w14:textId="60EF9A14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Policyholder Documentation</w:t>
            </w:r>
          </w:p>
          <w:p w:rsidR="10D6753D" w:rsidP="10D6753D" w:rsidRDefault="10D6753D" w14:paraId="377209D5" w14:textId="457A212D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Requirements</w:t>
            </w:r>
          </w:p>
          <w:p w:rsidR="10D6753D" w:rsidP="10D6753D" w:rsidRDefault="10D6753D" w14:paraId="54E859D0" w14:textId="7BD7553E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Claim Settlement Procedure</w:t>
            </w:r>
          </w:p>
          <w:p w:rsidR="10D6753D" w:rsidP="10D6753D" w:rsidRDefault="10D6753D" w14:paraId="39AB7087" w14:textId="0F3909DA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Cost-Sharing or Rider-Specific Terms</w:t>
            </w:r>
          </w:p>
          <w:p w:rsidR="10D6753D" w:rsidP="10D6753D" w:rsidRDefault="10D6753D" w14:paraId="0C1A7A89" w14:textId="3E99792E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Service &amp; Support Accessibility</w:t>
            </w:r>
          </w:p>
        </w:tc>
        <w:tc>
          <w:tcPr>
            <w:tcW w:w="4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D6753D" w:rsidP="10D6753D" w:rsidRDefault="10D6753D" w14:paraId="336A4CB6" w14:textId="0838C43A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LI-101: Term Life Insurance Agreement</w:t>
            </w:r>
          </w:p>
          <w:p w:rsidR="10D6753D" w:rsidP="10D6753D" w:rsidRDefault="10D6753D" w14:paraId="2E00B57C" w14:textId="548B69E4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LI-201: Endowment Policy Contract</w:t>
            </w:r>
          </w:p>
          <w:p w:rsidR="10D6753D" w:rsidP="10D6753D" w:rsidRDefault="10D6753D" w14:paraId="0F20C454" w14:textId="4AF1B4BF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LI-301: Whole Life Insurance Document</w:t>
            </w:r>
          </w:p>
          <w:p w:rsidR="10D6753D" w:rsidP="10D6753D" w:rsidRDefault="10D6753D" w14:paraId="61AD3554" w14:textId="3D1BF2B5">
            <w:pPr>
              <w:spacing w:before="0" w:beforeAutospacing="off" w:after="0" w:afterAutospacing="off"/>
            </w:pPr>
            <w:r w:rsidRPr="10D6753D" w:rsidR="10D6753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LI-401: ULIP Policy Terms &amp; Conditions</w:t>
            </w:r>
          </w:p>
        </w:tc>
      </w:tr>
    </w:tbl>
    <w:p xmlns:wp14="http://schemas.microsoft.com/office/word/2010/wordml" wp14:paraId="2C078E63" wp14:textId="4C6F365D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44c1511eafa449b"/>
      <w:footerReference w:type="default" r:id="R0f0ddedfd9cf41e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0D6753D" w:rsidTr="10D6753D" w14:paraId="24298F89">
      <w:trPr>
        <w:trHeight w:val="300"/>
      </w:trPr>
      <w:tc>
        <w:tcPr>
          <w:tcW w:w="3120" w:type="dxa"/>
          <w:tcMar/>
        </w:tcPr>
        <w:p w:rsidR="10D6753D" w:rsidP="10D6753D" w:rsidRDefault="10D6753D" w14:paraId="67ACA738" w14:textId="2F40C0D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0D6753D" w:rsidP="10D6753D" w:rsidRDefault="10D6753D" w14:paraId="69F2E27C" w14:textId="130B8C0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0D6753D" w:rsidP="10D6753D" w:rsidRDefault="10D6753D" w14:paraId="33E3508C" w14:textId="6B325B7B">
          <w:pPr>
            <w:pStyle w:val="Header"/>
            <w:bidi w:val="0"/>
            <w:ind w:right="-115"/>
            <w:jc w:val="right"/>
          </w:pPr>
        </w:p>
      </w:tc>
    </w:tr>
  </w:tbl>
  <w:p w:rsidR="10D6753D" w:rsidRDefault="10D6753D" w14:paraId="50CE32BE" w14:textId="47B698E7"/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0D6753D" w:rsidTr="10D6753D" w14:paraId="48713B17">
      <w:trPr>
        <w:trHeight w:val="300"/>
      </w:trPr>
      <w:tc>
        <w:tcPr>
          <w:tcW w:w="3120" w:type="dxa"/>
          <w:tcMar/>
        </w:tcPr>
        <w:p w:rsidR="10D6753D" w:rsidP="10D6753D" w:rsidRDefault="10D6753D" w14:paraId="35635F05" w14:textId="1228CFD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0D6753D" w:rsidP="10D6753D" w:rsidRDefault="10D6753D" w14:paraId="2CD019BE" w14:textId="267C51D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0D6753D" w:rsidP="10D6753D" w:rsidRDefault="10D6753D" w14:paraId="7E77800B" w14:textId="13E2FB61">
          <w:pPr>
            <w:pStyle w:val="Header"/>
            <w:bidi w:val="0"/>
            <w:ind w:right="-115"/>
            <w:jc w:val="right"/>
          </w:pPr>
        </w:p>
      </w:tc>
    </w:tr>
  </w:tbl>
  <w:p w:rsidR="10D6753D" w:rsidP="10D6753D" w:rsidRDefault="10D6753D" w14:paraId="72263132" w14:textId="3F9F6D6A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D47C90"/>
    <w:rsid w:val="10D6753D"/>
    <w:rsid w:val="29ECABB2"/>
    <w:rsid w:val="73D4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47C90"/>
  <w15:chartTrackingRefBased/>
  <w15:docId w15:val="{DFF280C2-8DF5-4B91-A603-FA44129BC6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10D6753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744c1511eafa449b" /><Relationship Type="http://schemas.openxmlformats.org/officeDocument/2006/relationships/footer" Target="footer.xml" Id="R0f0ddedfd9cf41e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2025-11-14T03:59:45.7316045Z</dcterms:created>
  <dcterms:modified xsi:type="dcterms:W3CDTF">2025-11-19T12:30:39.5962554Z</dcterms:modified>
  <dc:creator>Amit Kumar Mahapatra</dc:creator>
  <lastModifiedBy>Amit Kumar Mahapatra</lastModifiedBy>
</coreProperties>
</file>