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bookmarkStart w:id="0" w:name="_GoBack"/>
      <w:bookmarkEnd w:id="0"/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1" w:name="_Toc521455995"/>
      <w:r w:rsidRPr="005A35B1">
        <w:rPr>
          <w:lang w:val="en-US"/>
        </w:rPr>
        <w:t xml:space="preserve">Architectural </w:t>
      </w:r>
      <w:bookmarkEnd w:id="1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US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2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2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2071388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3" w:name="_Toc521455999"/>
      <w:r w:rsidRPr="005A35B1">
        <w:rPr>
          <w:lang w:val="en-US" w:eastAsia="en-GB"/>
        </w:rPr>
        <w:t>Enterprise Data</w:t>
      </w:r>
      <w:bookmarkEnd w:id="3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4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4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5" w:name="_Toc521456005"/>
      <w:r>
        <w:rPr>
          <w:lang w:val="en-US" w:eastAsia="en-GB"/>
        </w:rPr>
        <w:t>Data Integration</w:t>
      </w:r>
      <w:bookmarkEnd w:id="5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6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6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BA2B7" w14:textId="77777777" w:rsidR="00A03E57" w:rsidRDefault="00A03E57" w:rsidP="002D1633">
      <w:r>
        <w:separator/>
      </w:r>
    </w:p>
  </w:endnote>
  <w:endnote w:type="continuationSeparator" w:id="0">
    <w:p w14:paraId="4784E0C3" w14:textId="77777777" w:rsidR="00A03E57" w:rsidRDefault="00A03E57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14799" w14:textId="77777777" w:rsidR="00A03E57" w:rsidRDefault="00A03E57" w:rsidP="002D1633">
      <w:r>
        <w:separator/>
      </w:r>
    </w:p>
  </w:footnote>
  <w:footnote w:type="continuationSeparator" w:id="0">
    <w:p w14:paraId="3E768546" w14:textId="77777777" w:rsidR="00A03E57" w:rsidRDefault="00A03E57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0369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1F6DEB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3E57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FF82BD-6D2C-4946-BFFE-B93F71A0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 Kienzler</dc:creator>
  <cp:lastModifiedBy>Windows User</cp:lastModifiedBy>
  <cp:revision>2</cp:revision>
  <dcterms:created xsi:type="dcterms:W3CDTF">2019-07-23T09:41:00Z</dcterms:created>
  <dcterms:modified xsi:type="dcterms:W3CDTF">2019-07-23T09:41:00Z</dcterms:modified>
</cp:coreProperties>
</file>