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200"/>
      </w:pPr>
    </w:p>
    <w:p>
      <w:pPr>
        <w:spacing w:after="200"/>
      </w:pPr>
    </w:p>
    <w:p>
      <w:pPr>
        <w:spacing w:after="300"/>
        <w:jc w:val="center"/>
      </w:pPr>
      <w:r>
        <w:rPr>
          <w:b/>
          <w:bCs/>
          <w:sz w:val="48"/>
          <w:szCs w:val="48"/>
        </w:rPr>
        <w:t xml:space="preserve">Gini Dev</w:t>
      </w:r>
    </w:p>
    <w:p>
      <w:pPr>
        <w:spacing w:after="200"/>
        <w:jc w:val="center"/>
      </w:pPr>
      <w:r>
        <w:rPr>
          <w:sz w:val="36"/>
          <w:szCs w:val="36"/>
        </w:rPr>
        <w:t xml:space="preserve">AI Onboarding Assistant</w:t>
      </w:r>
    </w:p>
    <w:p>
      <w:pPr>
        <w:spacing w:after="200"/>
        <w:jc w:val="center"/>
      </w:pPr>
      <w:r>
        <w:rPr>
          <w:color w:val="888888"/>
          <w:sz w:val="24"/>
          <w:szCs w:val="24"/>
        </w:rPr>
        <w:t xml:space="preserve">05/05/2025</w:t>
      </w:r>
    </w:p>
    <w:p>
      <w:pPr>
        <w:spacing w:after="2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shd w:fill="EDEDED"/>
            <w:tcMar>
              <w:top w:type="dxa" w:w="100"/>
              <w:left w:type="dxa" w:w="200"/>
              <w:bottom w:type="dxa" w:w="100"/>
              <w:right w:type="dxa" w:w="200"/>
            </w:tcMar>
          </w:tcPr>
          <w:p>
            <w:pPr>
              <w:jc w:val="center"/>
            </w:pPr>
            <w:r>
              <w:rPr>
                <w:b/>
                <w:bCs/>
              </w:rPr>
              <w:t xml:space="preserve">Version</w:t>
            </w:r>
          </w:p>
        </w:tc>
        <w:tc>
          <w:tcPr>
            <w:shd w:fill="EDEDED"/>
            <w:tcMar>
              <w:top w:type="dxa" w:w="100"/>
              <w:left w:type="dxa" w:w="200"/>
              <w:bottom w:type="dxa" w:w="100"/>
              <w:right w:type="dxa" w:w="200"/>
            </w:tcMar>
          </w:tcPr>
          <w:p>
            <w:pPr>
              <w:jc w:val="center"/>
            </w:pPr>
            <w:r>
              <w:rPr>
                <w:b/>
                <w:bCs/>
              </w:rPr>
              <w:t xml:space="preserve">Date</w:t>
            </w:r>
          </w:p>
        </w:tc>
      </w:tr>
      <w:tr>
        <w:tc>
          <w:tcPr>
            <w:tcMar>
              <w:top w:type="dxa" w:w="100"/>
              <w:left w:type="dxa" w:w="200"/>
              <w:bottom w:type="dxa" w:w="100"/>
              <w:right w:type="dxa" w:w="200"/>
            </w:tcMar>
          </w:tcPr>
          <w:p>
            <w:pPr>
              <w:jc w:val="center"/>
            </w:pPr>
            <w:r>
              <w:t xml:space="preserve">1.0 - WIP</w:t>
            </w:r>
          </w:p>
        </w:tc>
        <w:tc>
          <w:tcPr>
            <w:tcMar>
              <w:top w:type="dxa" w:w="100"/>
              <w:left w:type="dxa" w:w="200"/>
              <w:bottom w:type="dxa" w:w="100"/>
              <w:right w:type="dxa" w:w="200"/>
            </w:tcMar>
          </w:tcPr>
          <w:p>
            <w:pPr>
              <w:jc w:val="center"/>
            </w:pPr>
            <w:r>
              <w:t xml:space="preserve">05/05/2025</w:t>
            </w:r>
          </w:p>
        </w:tc>
      </w:tr>
    </w:tbl>
    <w:p>
      <w:pPr>
        <w:sectPr>
          <w:headerReference w:type="default" r:id="rId6"/>
          <w:footerReference w:type="default" r:id="rId7"/>
          <w:pgSz w:w="11906" w:h="16838" w:orient="portrait"/>
          <w:pgMar w:top="720" w:right="1440" w:bottom="720" w:left="1440" w:header="708" w:footer="708" w:gutter="0"/>
          <w:pgNumType/>
          <w:docGrid w:linePitch="360"/>
        </w:sectPr>
      </w:pPr>
    </w:p>
    <w:p>
      <w:pPr>
        <w:pStyle w:val="Heading1"/>
        <w:pageBreakBefore/>
        <w:spacing w:after="300"/>
      </w:pPr>
      <w:r>
        <w:t xml:space="preserve">Purpose</w:t>
      </w:r>
    </w:p>
    <w:p>
      <w:pPr>
        <w:spacing w:after="200"/>
        <w:jc w:val="both"/>
      </w:pPr>
      <w:r>
        <w:t xml:space="preserve">The AI Onboarding Assistant project aims to streamline and automate the onboarding process for new developers at Gini Dev. The system leverages artificial intelligence to provide a personalized and efficient experience, reducing the time and effort required for new hires to become productive members of the team. The core functionality centers around an AI-powered chat interface combined with a document system, offering a centralized location for information, support, and guidance. This project significantly reduces the burden on existing team members and ensures new developers have the resources they need to quickly integrate into the company’s development workflow.</w:t>
      </w:r>
    </w:p>
    <w:p>
      <w:pPr>
        <w:pStyle w:val="Heading1"/>
        <w:pageBreakBefore/>
        <w:spacing w:after="300"/>
      </w:pPr>
      <w:r>
        <w:t xml:space="preserve">Architecture</w:t>
      </w:r>
    </w:p>
    <w:p>
      <w:pPr>
        <w:spacing w:after="200"/>
        <w:jc w:val="both"/>
      </w:pPr>
      <w:r>
        <w:t xml:space="preserve">The system is designed with a modular architecture to ensure scalability and maintainability. Key components include:</w:t>
      </w:r>
    </w:p>
    <w:p>
      <w:pPr>
        <w:pStyle w:val="ListParagraph"/>
        <w:numPr>
          <w:ilvl w:val="0"/>
          <w:numId w:val="1"/>
        </w:numPr>
        <w:spacing w:after="100"/>
      </w:pPr>
      <w:r>
        <w:t xml:space="preserve">  An AI Chatbot: Powered by a natural language processing (NLP) engine, the chatbot responds to developer queries, provides answers to frequently asked questions, and guides new hires through the onboarding process.</w:t>
      </w:r>
    </w:p>
    <w:p>
      <w:pPr>
        <w:pStyle w:val="ListParagraph"/>
        <w:numPr>
          <w:ilvl w:val="0"/>
          <w:numId w:val="1"/>
        </w:numPr>
        <w:spacing w:after="100"/>
      </w:pPr>
      <w:r>
        <w:t xml:space="preserve">  Document Repository: A centralized system for storing onboarding documents, including policies, procedures, and technical documentation. This repository is accessible through both the chatbot and a dedicated web interface.</w:t>
      </w:r>
    </w:p>
    <w:p>
      <w:pPr>
        <w:pStyle w:val="ListParagraph"/>
        <w:numPr>
          <w:ilvl w:val="0"/>
          <w:numId w:val="1"/>
        </w:numPr>
        <w:spacing w:after="100"/>
      </w:pPr>
      <w:r>
        <w:t xml:space="preserve">  User Management System: Responsible for managing user accounts and permissions, ensuring data security and access control.</w:t>
      </w:r>
    </w:p>
    <w:p>
      <w:pPr>
        <w:pStyle w:val="ListParagraph"/>
        <w:numPr>
          <w:ilvl w:val="0"/>
          <w:numId w:val="1"/>
        </w:numPr>
        <w:spacing w:after="100"/>
      </w:pPr>
      <w:r>
        <w:t xml:space="preserve">  API Integrations: The system integrates with existing Gini Dev systems for user authentication and data synchronization.</w:t>
      </w:r>
    </w:p>
    <w:p>
      <w:pPr>
        <w:pStyle w:val="Heading1"/>
        <w:pageBreakBefore/>
        <w:spacing w:after="300"/>
      </w:pPr>
      <w:r>
        <w:t xml:space="preserve">Features</w:t>
      </w:r>
    </w:p>
    <w:p>
      <w:pPr>
        <w:spacing w:after="200"/>
        <w:jc w:val="both"/>
      </w:pPr>
      <w:r>
        <w:t xml:space="preserve">The AI Onboarding Assistant offers several key features:</w:t>
      </w:r>
    </w:p>
    <w:p>
      <w:pPr>
        <w:pStyle w:val="ListParagraph"/>
        <w:numPr>
          <w:ilvl w:val="0"/>
          <w:numId w:val="1"/>
        </w:numPr>
        <w:spacing w:after="100"/>
      </w:pPr>
      <w:r>
        <w:t xml:space="preserve">  Automated Question Answering: The AI chatbot instantly answers common onboarding questions, eliminating the need for developers to search through lengthy documentation</w:t>
      </w:r>
    </w:p>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1400"/>
    </w:tblGrid>
    <w:tr>
      <w:trPr>
        <w:cantSplit/>
        <w:trHeight w:val="600" w:hRule="exact"/>
      </w:trPr>
      <w:tc>
        <w:tcPr>
          <w:tcW w:type="dxa" w:w="1600"/>
          <w:tcBorders>
            <w:top w:val="none" w:color="FFFFFF" w:sz="0"/>
            <w:left w:val="none" w:color="FFFFFF" w:sz="0"/>
            <w:bottom w:val="none" w:color="FFFFFF" w:sz="0"/>
            <w:right w:val="none" w:color="FFFFFF" w:sz="0"/>
          </w:tcBorders>
          <w:vAlign w:val="bottom"/>
        </w:tcPr>
        <w:p>
          <w:pPr>
            <w:jc w:val="left"/>
          </w:pPr>
          <w:r>
            <w:drawing>
              <wp:inline distT="0" distB="0" distL="0" distR="0">
                <wp:extent cx="1143000" cy="476250"/>
                <wp:effectExtent t="0" r="0" b="0" l="0"/>
                <wp:docPr id="1" name="gini-logo" descr="gini-logo" title="gini-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476250"/>
                        </a:xfrm>
                        <a:prstGeom prst="rect">
                          <a:avLst/>
                        </a:prstGeom>
                      </pic:spPr>
                    </pic:pic>
                  </a:graphicData>
                </a:graphic>
              </wp:inline>
            </w:drawing>
          </w:r>
        </w:p>
      </w:tc>
      <w:tc>
        <w:tcPr>
          <w:tcW w:type="dxa" w:w="5800"/>
          <w:tcBorders>
            <w:top w:val="none" w:color="FFFFFF" w:sz="0"/>
            <w:left w:val="none" w:color="FFFFFF" w:sz="0"/>
            <w:bottom w:val="none" w:color="FFFFFF" w:sz="0"/>
            <w:right w:val="none" w:color="FFFFFF" w:sz="0"/>
          </w:tcBorders>
          <w:vAlign w:val="bottom"/>
        </w:tcPr>
        <w:p>
          <w:pPr>
            <w:spacing w:before="0" w:after="0"/>
            <w:jc w:val="center"/>
          </w:pPr>
          <w:r>
            <w:rPr>
              <w:b/>
              <w:bCs/>
              <w:sz w:val="26"/>
              <w:szCs w:val="26"/>
            </w:rPr>
            <w:t xml:space="preserve">Gini-Apps</w:t>
          </w:r>
        </w:p>
        <w:p>
          <w:pPr>
            <w:spacing w:before="10" w:after="0"/>
            <w:jc w:val="center"/>
          </w:pPr>
          <w:r>
            <w:rPr>
              <w:b/>
              <w:bCs/>
              <w:sz w:val="28"/>
              <w:szCs w:val="28"/>
            </w:rPr>
            <w:t xml:space="preserve">AI Onboarding Assistant</w:t>
          </w:r>
        </w:p>
      </w:tc>
      <w:tc>
        <w:tcPr>
          <w:tcW w:type="dxa" w:w="1400"/>
          <w:tcBorders>
            <w:top w:val="none" w:color="FFFFFF" w:sz="0"/>
            <w:left w:val="none" w:color="FFFFFF" w:sz="0"/>
            <w:bottom w:val="none" w:color="FFFFFF" w:sz="0"/>
            <w:right w:val="none" w:color="FFFFFF" w:sz="0"/>
          </w:tcBorders>
          <w:vAlign w:val="bottom"/>
        </w:tcPr>
        <w:p>
          <w:pPr>
            <w:spacing w:before="0" w:after="0"/>
            <w:jc w:val="left"/>
          </w:pPr>
          <w:r>
            <w:rPr>
              <w:sz w:val="22"/>
              <w:szCs w:val="22"/>
            </w:rPr>
            <w:t xml:space="preserve">Date: 05/05/2025</w:t>
          </w:r>
        </w:p>
      </w:tc>
    </w:tr>
  </w:tbl>
  <w:p>
    <w:pPr>
      <w:pBdr>
        <w:bottom w:val="single" w:color="000000" w:sz="6" w:space="1"/>
      </w:pBdr>
      <w:spacing w:before="0" w:after="0"/>
    </w:pPr>
  </w:p>
  <w:p>
    <w:pPr>
      <w:spacing w:after="2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1400"/>
    </w:tblGrid>
    <w:tr>
      <w:trPr>
        <w:cantSplit/>
        <w:trHeight w:val="600" w:hRule="exact"/>
      </w:trPr>
      <w:tc>
        <w:tcPr>
          <w:tcW w:type="dxa" w:w="1600"/>
          <w:tcBorders>
            <w:top w:val="none" w:color="FFFFFF" w:sz="0"/>
            <w:left w:val="none" w:color="FFFFFF" w:sz="0"/>
            <w:bottom w:val="none" w:color="FFFFFF" w:sz="0"/>
            <w:right w:val="none" w:color="FFFFFF" w:sz="0"/>
          </w:tcBorders>
          <w:vAlign w:val="bottom"/>
        </w:tcPr>
        <w:p>
          <w:pPr>
            <w:jc w:val="left"/>
          </w:pPr>
          <w:r>
            <w:drawing>
              <wp:inline distT="0" distB="0" distL="0" distR="0">
                <wp:extent cx="1143000" cy="476250"/>
                <wp:effectExtent t="0" r="0" b="0" l="0"/>
                <wp:docPr id="1" name="gini-logo" descr="gini-logo" title="gini-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476250"/>
                        </a:xfrm>
                        <a:prstGeom prst="rect">
                          <a:avLst/>
                        </a:prstGeom>
                      </pic:spPr>
                    </pic:pic>
                  </a:graphicData>
                </a:graphic>
              </wp:inline>
            </w:drawing>
          </w:r>
        </w:p>
      </w:tc>
      <w:tc>
        <w:tcPr>
          <w:tcW w:type="dxa" w:w="5800"/>
          <w:tcBorders>
            <w:top w:val="none" w:color="FFFFFF" w:sz="0"/>
            <w:left w:val="none" w:color="FFFFFF" w:sz="0"/>
            <w:bottom w:val="none" w:color="FFFFFF" w:sz="0"/>
            <w:right w:val="none" w:color="FFFFFF" w:sz="0"/>
          </w:tcBorders>
          <w:vAlign w:val="bottom"/>
        </w:tcPr>
        <w:p>
          <w:pPr>
            <w:spacing w:before="0" w:after="0"/>
            <w:jc w:val="center"/>
          </w:pPr>
          <w:r>
            <w:rPr>
              <w:b/>
              <w:bCs/>
              <w:sz w:val="26"/>
              <w:szCs w:val="26"/>
            </w:rPr>
            <w:t xml:space="preserve">Gini-Apps</w:t>
          </w:r>
        </w:p>
        <w:p>
          <w:pPr>
            <w:spacing w:before="10" w:after="0"/>
            <w:jc w:val="center"/>
          </w:pPr>
          <w:r>
            <w:rPr>
              <w:b/>
              <w:bCs/>
              <w:sz w:val="28"/>
              <w:szCs w:val="28"/>
            </w:rPr>
            <w:t xml:space="preserve">AI Onboarding Assistant</w:t>
          </w:r>
        </w:p>
      </w:tc>
      <w:tc>
        <w:tcPr>
          <w:tcW w:type="dxa" w:w="1400"/>
          <w:tcBorders>
            <w:top w:val="none" w:color="FFFFFF" w:sz="0"/>
            <w:left w:val="none" w:color="FFFFFF" w:sz="0"/>
            <w:bottom w:val="none" w:color="FFFFFF" w:sz="0"/>
            <w:right w:val="none" w:color="FFFFFF" w:sz="0"/>
          </w:tcBorders>
          <w:vAlign w:val="bottom"/>
        </w:tcPr>
        <w:p>
          <w:pPr>
            <w:spacing w:before="0" w:after="0"/>
            <w:jc w:val="left"/>
          </w:pPr>
          <w:r>
            <w:rPr>
              <w:sz w:val="22"/>
              <w:szCs w:val="22"/>
            </w:rPr>
            <w:t xml:space="preserve">Date: 05/05/2025</w:t>
          </w:r>
        </w:p>
      </w:tc>
    </w:tr>
  </w:tbl>
  <w:p>
    <w:pPr>
      <w:pBdr>
        <w:bottom w:val="single" w:color="000000" w:sz="6" w:space="1"/>
      </w:pBdr>
      <w:spacing w:before="0" w:after="0"/>
    </w:pPr>
  </w:p>
  <w:p>
    <w:pPr>
      <w:spacing w:after="2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e086b6c981e7da0487f169497673ee66fa4c9e.png"/></Relationships>
</file>

<file path=word/_rels/header2.xml.rels><?xml version="1.0" encoding="UTF-8"?><Relationships xmlns="http://schemas.openxmlformats.org/package/2006/relationships"><Relationship Id="rId0" Type="http://schemas.openxmlformats.org/officeDocument/2006/relationships/image" Target="media/efe086b6c981e7da0487f169497673ee66fa4c9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2025-05-05T08:33:50.311Z</dcterms:created>
  <dcterms:modified xsi:type="dcterms:W3CDTF">2025-05-05T08:33:50.311Z</dcterms:modified>
</cp:coreProperties>
</file>

<file path=docProps/custom.xml><?xml version="1.0" encoding="utf-8"?>
<Properties xmlns="http://schemas.openxmlformats.org/officeDocument/2006/custom-properties" xmlns:vt="http://schemas.openxmlformats.org/officeDocument/2006/docPropsVTypes"/>
</file>