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2B4C"/>
          <w:sz w:val="44"/>
        </w:rPr>
        <w:t>Pilot Readiness Checklist</w:t>
      </w:r>
    </w:p>
    <w:p>
      <w:pPr>
        <w:spacing w:after="280"/>
      </w:pPr>
      <w:r>
        <w:rPr>
          <w:i/>
          <w:color w:val="555F6E"/>
          <w:sz w:val="21"/>
        </w:rPr>
        <w:t>Goal: no technical glitch by go-live. Accuracy of forecasts/numbers is a pilot question, not a pre-pilot one — not checked here.</w:t>
      </w:r>
    </w:p>
    <w:p>
      <w:pPr>
        <w:spacing w:before="320" w:after="80"/>
        <w:pBdr>
          <w:bottom w:val="single" w:sz="6" w:space="1" w:color="0E7C86"/>
        </w:pBdr>
      </w:pPr>
      <w:r>
        <w:rPr>
          <w:b/>
          <w:color w:val="0E7C86"/>
          <w:sz w:val="27"/>
        </w:rPr>
        <w:t>Week 1–2  —  Core Platform</w:t>
      </w:r>
    </w:p>
    <w:p>
      <w:pPr>
        <w:spacing w:after="80"/>
        <w:ind w:left="216"/>
      </w:pPr>
      <w:r>
        <w:rPr>
          <w:color w:val="1A2B4C"/>
          <w:sz w:val="24"/>
        </w:rPr>
        <w:t xml:space="preserve">☐  </w:t>
      </w:r>
      <w:r>
        <w:rPr>
          <w:sz w:val="21"/>
        </w:rPr>
        <w:t>Environment/tenant config finalized</w:t>
      </w:r>
      <w:r>
        <w:rPr>
          <w:i/>
          <w:color w:val="555F6E"/>
          <w:sz w:val="19"/>
        </w:rPr>
        <w:t xml:space="preserve">  — pricing tier, billing rules, ERCOT settings, access/roles</w:t>
      </w:r>
    </w:p>
    <w:p>
      <w:pPr>
        <w:spacing w:after="80"/>
        <w:ind w:left="216"/>
      </w:pPr>
      <w:r>
        <w:rPr>
          <w:color w:val="1A2B4C"/>
          <w:sz w:val="24"/>
        </w:rPr>
        <w:t xml:space="preserve">☐  </w:t>
      </w:r>
      <w:r>
        <w:rPr>
          <w:sz w:val="21"/>
        </w:rPr>
        <w:t>Data-import pipeline built &amp; validated</w:t>
      </w:r>
      <w:r>
        <w:rPr>
          <w:i/>
          <w:color w:val="555F6E"/>
          <w:sz w:val="19"/>
        </w:rPr>
        <w:t xml:space="preserve">  — meters, customers, contracts, rate structures</w:t>
      </w:r>
    </w:p>
    <w:p>
      <w:pPr>
        <w:spacing w:after="80"/>
        <w:ind w:left="216"/>
      </w:pPr>
      <w:r>
        <w:rPr>
          <w:color w:val="1A2B4C"/>
          <w:sz w:val="24"/>
        </w:rPr>
        <w:t xml:space="preserve">☐  </w:t>
      </w:r>
      <w:r>
        <w:rPr>
          <w:sz w:val="21"/>
        </w:rPr>
        <w:t>Sales / Enrollment dry run passes clean</w:t>
      </w:r>
      <w:r>
        <w:rPr>
          <w:i/>
          <w:color w:val="555F6E"/>
          <w:sz w:val="19"/>
        </w:rPr>
        <w:t xml:space="preserve">  — no crashes, output matches expected</w:t>
      </w:r>
    </w:p>
    <w:p>
      <w:pPr>
        <w:spacing w:after="80"/>
        <w:ind w:left="216"/>
      </w:pPr>
      <w:r>
        <w:rPr>
          <w:color w:val="1A2B4C"/>
          <w:sz w:val="24"/>
        </w:rPr>
        <w:t xml:space="preserve">☐  </w:t>
      </w:r>
      <w:r>
        <w:rPr>
          <w:sz w:val="21"/>
        </w:rPr>
        <w:t>Billing Engine dry run passes clean</w:t>
      </w:r>
      <w:r>
        <w:rPr>
          <w:i/>
          <w:color w:val="555F6E"/>
          <w:sz w:val="19"/>
        </w:rPr>
        <w:t xml:space="preserve">  — EDI ingestion → tax → invoice, invoice numbers reconcile</w:t>
      </w:r>
    </w:p>
    <w:p>
      <w:pPr>
        <w:spacing w:after="80"/>
        <w:ind w:left="216"/>
      </w:pPr>
      <w:r>
        <w:rPr>
          <w:color w:val="1A2B4C"/>
          <w:sz w:val="24"/>
        </w:rPr>
        <w:t xml:space="preserve">☐  </w:t>
      </w:r>
      <w:r>
        <w:rPr>
          <w:sz w:val="21"/>
        </w:rPr>
        <w:t>Portfolio / hedge book loaded correctly</w:t>
      </w:r>
      <w:r>
        <w:rPr>
          <w:i/>
          <w:color w:val="555F6E"/>
          <w:sz w:val="19"/>
        </w:rPr>
        <w:t xml:space="preserve">  — no data mismatches against source</w:t>
      </w:r>
    </w:p>
    <w:p>
      <w:pPr>
        <w:spacing w:after="80"/>
        <w:ind w:left="216"/>
      </w:pPr>
      <w:r>
        <w:rPr>
          <w:color w:val="1A2B4C"/>
          <w:sz w:val="24"/>
        </w:rPr>
        <w:t xml:space="preserve">☐  </w:t>
      </w:r>
      <w:r>
        <w:rPr>
          <w:sz w:val="21"/>
        </w:rPr>
        <w:t>Monitoring checkpoints running clean</w:t>
      </w:r>
      <w:r>
        <w:rPr>
          <w:i/>
          <w:color w:val="555F6E"/>
          <w:sz w:val="19"/>
        </w:rPr>
        <w:t xml:space="preserve">  — all 4 nightly checks executing against pilot's settlement zone</w:t>
      </w:r>
    </w:p>
    <w:p>
      <w:pPr>
        <w:spacing w:after="80"/>
        <w:ind w:left="216"/>
      </w:pPr>
      <w:r>
        <w:rPr>
          <w:color w:val="1A2B4C"/>
          <w:sz w:val="24"/>
        </w:rPr>
        <w:t xml:space="preserve">☐  </w:t>
      </w:r>
      <w:r>
        <w:rPr>
          <w:sz w:val="21"/>
        </w:rPr>
        <w:t>MTM manual-entry flow tested end-to-end</w:t>
      </w:r>
      <w:r>
        <w:rPr>
          <w:i/>
          <w:color w:val="555F6E"/>
          <w:sz w:val="19"/>
        </w:rPr>
        <w:t xml:space="preserve">  — price entry → calculate → summary/by-deal all working</w:t>
      </w:r>
    </w:p>
    <w:p>
      <w:pPr>
        <w:spacing w:after="80"/>
        <w:ind w:left="216"/>
      </w:pPr>
      <w:r>
        <w:rPr>
          <w:color w:val="1A2B4C"/>
          <w:sz w:val="24"/>
        </w:rPr>
        <w:t xml:space="preserve">☐  </w:t>
      </w:r>
      <w:r>
        <w:rPr>
          <w:sz w:val="21"/>
        </w:rPr>
        <w:t>All Week 1–2 bugs closed or logged with an owner</w:t>
      </w:r>
      <w:r>
        <w:rPr>
          <w:i/>
          <w:color w:val="555F6E"/>
          <w:sz w:val="19"/>
        </w:rPr>
        <w:t xml:space="preserve">  — nothing silently dropped</w:t>
      </w:r>
    </w:p>
    <w:p>
      <w:pPr>
        <w:spacing w:before="320" w:after="80"/>
        <w:pBdr>
          <w:bottom w:val="single" w:sz="6" w:space="1" w:color="0E7C86"/>
        </w:pBdr>
      </w:pPr>
      <w:r>
        <w:rPr>
          <w:b/>
          <w:color w:val="0E7C86"/>
          <w:sz w:val="27"/>
        </w:rPr>
        <w:t>Week 3  —  Email Assistant + Collections Agent</w:t>
      </w:r>
    </w:p>
    <w:p>
      <w:pPr>
        <w:spacing w:after="80"/>
        <w:ind w:left="216"/>
      </w:pPr>
      <w:r>
        <w:rPr>
          <w:color w:val="1A2B4C"/>
          <w:sz w:val="24"/>
        </w:rPr>
        <w:t xml:space="preserve">☐  </w:t>
      </w:r>
      <w:r>
        <w:rPr>
          <w:sz w:val="21"/>
        </w:rPr>
        <w:t>Email Assistant approval queue live inside ORBIC</w:t>
      </w:r>
      <w:r>
        <w:rPr>
          <w:i/>
          <w:color w:val="555F6E"/>
          <w:sz w:val="19"/>
        </w:rPr>
        <w:t xml:space="preserve">  — not the standalone pipeline</w:t>
      </w:r>
    </w:p>
    <w:p>
      <w:pPr>
        <w:spacing w:after="80"/>
        <w:ind w:left="216"/>
      </w:pPr>
      <w:r>
        <w:rPr>
          <w:color w:val="1A2B4C"/>
          <w:sz w:val="24"/>
        </w:rPr>
        <w:t xml:space="preserve">☐  </w:t>
      </w:r>
      <w:r>
        <w:rPr>
          <w:sz w:val="21"/>
        </w:rPr>
        <w:t>Draft → approve/deny → send flow tested</w:t>
      </w:r>
      <w:r>
        <w:rPr>
          <w:i/>
          <w:color w:val="555F6E"/>
          <w:sz w:val="19"/>
        </w:rPr>
        <w:t xml:space="preserve">  — no dropped sends, no duplicate sends</w:t>
      </w:r>
    </w:p>
    <w:p>
      <w:pPr>
        <w:spacing w:after="80"/>
        <w:ind w:left="216"/>
      </w:pPr>
      <w:r>
        <w:rPr>
          <w:color w:val="1A2B4C"/>
          <w:sz w:val="24"/>
        </w:rPr>
        <w:t xml:space="preserve">☐  </w:t>
      </w:r>
      <w:r>
        <w:rPr>
          <w:sz w:val="21"/>
        </w:rPr>
        <w:t>LLM_AGENT actions logged &amp; traceable</w:t>
      </w:r>
      <w:r>
        <w:rPr>
          <w:i/>
          <w:color w:val="555F6E"/>
          <w:sz w:val="19"/>
        </w:rPr>
        <w:t xml:space="preserve">  — full audit trail on every automated action</w:t>
      </w:r>
    </w:p>
    <w:p>
      <w:pPr>
        <w:spacing w:after="80"/>
        <w:ind w:left="216"/>
      </w:pPr>
      <w:r>
        <w:rPr>
          <w:color w:val="1A2B4C"/>
          <w:sz w:val="24"/>
        </w:rPr>
        <w:t xml:space="preserve">☐  </w:t>
      </w:r>
      <w:r>
        <w:rPr>
          <w:sz w:val="21"/>
        </w:rPr>
        <w:t>Collections Agent wired to real collections actions</w:t>
      </w:r>
      <w:r>
        <w:rPr>
          <w:i/>
          <w:color w:val="555F6E"/>
          <w:sz w:val="19"/>
        </w:rPr>
        <w:t xml:space="preserve">  — payment plans, escalations — reusing the approval-queue pattern</w:t>
      </w:r>
    </w:p>
    <w:p>
      <w:pPr>
        <w:spacing w:after="80"/>
        <w:ind w:left="216"/>
      </w:pPr>
      <w:r>
        <w:rPr>
          <w:color w:val="1A2B4C"/>
          <w:sz w:val="24"/>
        </w:rPr>
        <w:t xml:space="preserve">☐  </w:t>
      </w:r>
      <w:r>
        <w:rPr>
          <w:sz w:val="21"/>
        </w:rPr>
        <w:t>Collections Agent approve/send flow tested</w:t>
      </w:r>
      <w:r>
        <w:rPr>
          <w:i/>
          <w:color w:val="555F6E"/>
          <w:sz w:val="19"/>
        </w:rPr>
        <w:t xml:space="preserve">  — same rigor as Email Assistant</w:t>
      </w:r>
    </w:p>
    <w:p>
      <w:pPr>
        <w:spacing w:after="80"/>
        <w:ind w:left="216"/>
      </w:pPr>
      <w:r>
        <w:rPr>
          <w:color w:val="1A2B4C"/>
          <w:sz w:val="24"/>
        </w:rPr>
        <w:t xml:space="preserve">☐  </w:t>
      </w:r>
      <w:r>
        <w:rPr>
          <w:sz w:val="21"/>
        </w:rPr>
        <w:t>Edge cases handled without crashing</w:t>
      </w:r>
      <w:r>
        <w:rPr>
          <w:i/>
          <w:color w:val="555F6E"/>
          <w:sz w:val="19"/>
        </w:rPr>
        <w:t xml:space="preserve">  — empty queue, malformed input, duplicate items</w:t>
      </w:r>
    </w:p>
    <w:p>
      <w:pPr>
        <w:spacing w:before="320" w:after="80"/>
        <w:pBdr>
          <w:bottom w:val="single" w:sz="6" w:space="1" w:color="0E7C86"/>
        </w:pBdr>
      </w:pPr>
      <w:r>
        <w:rPr>
          <w:b/>
          <w:color w:val="0E7C86"/>
          <w:sz w:val="27"/>
        </w:rPr>
        <w:t>Week 4  —  Price Forecasting</w:t>
      </w:r>
    </w:p>
    <w:p>
      <w:pPr>
        <w:spacing w:after="80"/>
        <w:ind w:left="216"/>
      </w:pPr>
      <w:r>
        <w:rPr>
          <w:color w:val="1A2B4C"/>
          <w:sz w:val="24"/>
        </w:rPr>
        <w:t xml:space="preserve">☐  </w:t>
      </w:r>
      <w:r>
        <w:rPr>
          <w:sz w:val="21"/>
        </w:rPr>
        <w:t>Price formula wired into the existing forecast layer pipeline</w:t>
      </w:r>
      <w:r>
        <w:rPr>
          <w:i/>
          <w:color w:val="555F6E"/>
          <w:sz w:val="19"/>
        </w:rPr>
        <w:t xml:space="preserve">  — no new infrastructure needed</w:t>
      </w:r>
    </w:p>
    <w:p>
      <w:pPr>
        <w:spacing w:after="80"/>
        <w:ind w:left="216"/>
      </w:pPr>
      <w:r>
        <w:rPr>
          <w:color w:val="1A2B4C"/>
          <w:sz w:val="24"/>
        </w:rPr>
        <w:t xml:space="preserve">☐  </w:t>
      </w:r>
      <w:r>
        <w:rPr>
          <w:sz w:val="21"/>
        </w:rPr>
        <w:t>Formula executes without error on real historical data</w:t>
      </w:r>
      <w:r>
        <w:rPr>
          <w:i/>
          <w:color w:val="555F6E"/>
          <w:sz w:val="19"/>
        </w:rPr>
        <w:t xml:space="preserve">  — backtest run completes clean</w:t>
      </w:r>
    </w:p>
    <w:p>
      <w:pPr>
        <w:spacing w:after="80"/>
        <w:ind w:left="216"/>
      </w:pPr>
      <w:r>
        <w:rPr>
          <w:color w:val="1A2B4C"/>
          <w:sz w:val="24"/>
        </w:rPr>
        <w:t xml:space="preserve">☐  </w:t>
      </w:r>
      <w:r>
        <w:rPr>
          <w:sz w:val="21"/>
        </w:rPr>
        <w:t>Bad/missing input handled gracefully</w:t>
      </w:r>
      <w:r>
        <w:rPr>
          <w:i/>
          <w:color w:val="555F6E"/>
          <w:sz w:val="19"/>
        </w:rPr>
        <w:t xml:space="preserve">  — does not crash or stall the forecast pipeline</w:t>
      </w:r>
    </w:p>
    <w:p>
      <w:pPr>
        <w:spacing w:after="80"/>
        <w:ind w:left="216"/>
      </w:pPr>
      <w:r>
        <w:rPr>
          <w:color w:val="1A2B4C"/>
          <w:sz w:val="24"/>
        </w:rPr>
        <w:t xml:space="preserve">☐  </w:t>
      </w:r>
      <w:r>
        <w:rPr>
          <w:sz w:val="21"/>
        </w:rPr>
        <w:t>Output feeds correctly into Portfolio/MTM</w:t>
      </w:r>
      <w:r>
        <w:rPr>
          <w:i/>
          <w:color w:val="555F6E"/>
          <w:sz w:val="19"/>
        </w:rPr>
        <w:t xml:space="preserve">  — downstream calculations unaffected by bad values</w:t>
      </w:r>
    </w:p>
    <w:p>
      <w:pPr>
        <w:spacing w:after="80"/>
        <w:ind w:left="216"/>
      </w:pPr>
      <w:r>
        <w:rPr>
          <w:color w:val="1A2B4C"/>
          <w:sz w:val="24"/>
        </w:rPr>
        <w:t xml:space="preserve">☐  </w:t>
      </w:r>
      <w:r>
        <w:rPr>
          <w:sz w:val="21"/>
        </w:rPr>
        <w:t>Explicitly flagged as unvalidated for accuracy</w:t>
      </w:r>
      <w:r>
        <w:rPr>
          <w:i/>
          <w:color w:val="555F6E"/>
          <w:sz w:val="19"/>
        </w:rPr>
        <w:t xml:space="preserve">  — “monitor during pilot,” not “proven” — do not sign off on this as done</w:t>
      </w:r>
    </w:p>
    <w:p>
      <w:pPr>
        <w:spacing w:before="320" w:after="80"/>
        <w:pBdr>
          <w:bottom w:val="single" w:sz="6" w:space="1" w:color="0E7C86"/>
        </w:pBdr>
      </w:pPr>
      <w:r>
        <w:rPr>
          <w:b/>
          <w:color w:val="0E7C86"/>
          <w:sz w:val="27"/>
        </w:rPr>
        <w:t>Cross-cutting  —  Go-Live Readiness</w:t>
      </w:r>
    </w:p>
    <w:p>
      <w:pPr>
        <w:spacing w:after="80"/>
        <w:ind w:left="216"/>
      </w:pPr>
      <w:r>
        <w:rPr>
          <w:color w:val="1A2B4C"/>
          <w:sz w:val="24"/>
        </w:rPr>
        <w:t xml:space="preserve">☐  </w:t>
      </w:r>
      <w:r>
        <w:rPr>
          <w:sz w:val="21"/>
        </w:rPr>
        <w:t>Full regression pass across all four areas together</w:t>
      </w:r>
      <w:r>
        <w:rPr>
          <w:i/>
          <w:color w:val="555F6E"/>
          <w:sz w:val="19"/>
        </w:rPr>
        <w:t xml:space="preserve">  — not just tested individually</w:t>
      </w:r>
    </w:p>
    <w:p>
      <w:pPr>
        <w:spacing w:after="80"/>
        <w:ind w:left="216"/>
      </w:pPr>
      <w:r>
        <w:rPr>
          <w:color w:val="1A2B4C"/>
          <w:sz w:val="24"/>
        </w:rPr>
        <w:t xml:space="preserve">☐  </w:t>
      </w:r>
      <w:r>
        <w:rPr>
          <w:sz w:val="21"/>
        </w:rPr>
        <w:t>Runbook written</w:t>
      </w:r>
      <w:r>
        <w:rPr>
          <w:i/>
          <w:color w:val="555F6E"/>
          <w:sz w:val="19"/>
        </w:rPr>
        <w:t xml:space="preserve">  — go-live checklist + rollback plan</w:t>
      </w:r>
    </w:p>
    <w:p>
      <w:pPr>
        <w:spacing w:after="80"/>
        <w:ind w:left="216"/>
      </w:pPr>
      <w:r>
        <w:rPr>
          <w:color w:val="1A2B4C"/>
          <w:sz w:val="24"/>
        </w:rPr>
        <w:t xml:space="preserve">☐  </w:t>
      </w:r>
      <w:r>
        <w:rPr>
          <w:sz w:val="21"/>
        </w:rPr>
        <w:t>Training materials ready for the pilot REP's staff</w:t>
      </w:r>
    </w:p>
    <w:p>
      <w:pPr>
        <w:spacing w:after="80"/>
        <w:ind w:left="216"/>
      </w:pPr>
      <w:r>
        <w:rPr>
          <w:color w:val="1A2B4C"/>
          <w:sz w:val="24"/>
        </w:rPr>
        <w:t xml:space="preserve">☐  </w:t>
      </w:r>
      <w:r>
        <w:rPr>
          <w:sz w:val="21"/>
        </w:rPr>
        <w:t>Config frozen</w:t>
      </w:r>
      <w:r>
        <w:rPr>
          <w:i/>
          <w:color w:val="555F6E"/>
          <w:sz w:val="19"/>
        </w:rPr>
        <w:t xml:space="preserve">  — no further changes without sign-off</w:t>
      </w:r>
    </w:p>
    <w:p>
      <w:pPr>
        <w:spacing w:after="80"/>
        <w:ind w:left="216"/>
      </w:pPr>
      <w:r>
        <w:rPr>
          <w:color w:val="1A2B4C"/>
          <w:sz w:val="24"/>
        </w:rPr>
        <w:t xml:space="preserve">☐  </w:t>
      </w:r>
      <w:r>
        <w:rPr>
          <w:sz w:val="21"/>
        </w:rPr>
        <w:t>Pilot success criteria defined &amp; agreed with the REP</w:t>
      </w:r>
      <w:r>
        <w:rPr>
          <w:i/>
          <w:color w:val="555F6E"/>
          <w:sz w:val="19"/>
        </w:rPr>
        <w:t xml:space="preserve">  — accuracy thresholds, uptime, specific KPIs</w:t>
      </w:r>
    </w:p>
    <w:p>
      <w:pPr>
        <w:spacing w:after="80"/>
        <w:ind w:left="216"/>
      </w:pPr>
      <w:r>
        <w:rPr>
          <w:color w:val="1A2B4C"/>
          <w:sz w:val="24"/>
        </w:rPr>
        <w:t xml:space="preserve">☐  </w:t>
      </w:r>
      <w:r>
        <w:rPr>
          <w:sz w:val="21"/>
        </w:rPr>
        <w:t>Data-handover dependency flagged separately</w:t>
      </w:r>
      <w:r>
        <w:rPr>
          <w:i/>
          <w:color w:val="555F6E"/>
          <w:sz w:val="19"/>
        </w:rPr>
        <w:t xml:space="preserve">  — on the REP's side, outside your control — track but don't own</w:t>
      </w:r>
    </w:p>
    <w:p/>
    <w:p>
      <w:r>
        <w:rPr>
          <w:i/>
          <w:color w:val="555F6E"/>
          <w:sz w:val="19"/>
        </w:rPr>
        <w:t>Use alongside the Daily Routine doc: each day's Testing Block should map back to one or more unchecked items here, so progress is visible item-by-item, not just day-by-day.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