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Documents Comparison Report</w:t>
      </w:r>
    </w:p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0.64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0.93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22</w:t>
      </w:r>
    </w:p>
    <w:p>
      <w:r>
        <w:t>Similarity Score: 0.89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0.98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22</w:t>
      </w:r>
    </w:p>
    <w:p>
      <w:r>
        <w:t>Similarity Score: 0.97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22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22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0.90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0.95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0.91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22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0.86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22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