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0.64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0.93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24</w:t>
      </w:r>
    </w:p>
    <w:p>
      <w:r>
        <w:t>Similarity Score: 0.89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0.98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24</w:t>
      </w:r>
    </w:p>
    <w:p>
      <w:r>
        <w:t>Similarity Score: 0.97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24</w:t>
      </w:r>
    </w:p>
    <w:p>
      <w:r>
        <w:t>Similarity Score: 0.80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24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0.90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0.91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24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24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0.86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24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jc w:val="lef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sz w:val="20"/>
            </w:rPr>
            <w:t>Comparison Date: 01-08-2024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</w:tcPr>
        <w:p>
          <w:pPr>
            <w:jc w:val="left"/>
          </w:pPr>
          <w:r>
            <w:rPr>
              <w:sz w:val="20"/>
            </w:rPr>
            <w:t>Compared By: Aditya Patel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sz w:val="20"/>
            </w:rPr>
            <w:t>Report No.: CR100023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