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64%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service. </w:t>
      </w:r>
    </w:p>
    <w:p>
      <w:pPr>
        <w:pStyle w:val="Heading2"/>
      </w:pPr>
      <w:r>
        <w:t>Document 19</w:t>
      </w:r>
    </w:p>
    <w:p>
      <w:r>
        <w:t>Similarity Score: 92%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19</w:t>
      </w:r>
    </w:p>
    <w:p>
      <w:r>
        <w:t>Similarity Score: 97%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19</w:t>
      </w:r>
    </w:p>
    <w:p>
      <w:r>
        <w:t>Similarity Score: 89%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95%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19</w:t>
      </w:r>
    </w:p>
    <w:p>
      <w:r>
        <w:t>Similarity Score: 91%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19</w:t>
      </w:r>
    </w:p>
    <w:p>
      <w:r>
        <w:t>Similarity Score: 86%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2024-08-05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CR100977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Just testing the Observations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