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2. Responsibilities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2. Responsibilities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2. Responsibilities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10. Training</w:t>
      </w:r>
    </w:p>
    <w:p>
      <w:pPr>
        <w:pStyle w:val="Heading1"/>
      </w:pPr>
      <w:r>
        <w:t>11. Review and Update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